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7265C0" w:rsidRDefault="0094424E" w:rsidP="00D44968">
      <w:pPr>
        <w:suppressLineNumbers/>
        <w:rPr>
          <w:rtl/>
        </w:rPr>
      </w:pPr>
      <w:bookmarkStart w:id="0" w:name="_GoBack"/>
      <w:bookmarkEnd w:id="0"/>
      <w:r w:rsidRPr="007265C0">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265C0" w:rsidRPr="007265C0">
        <w:trPr>
          <w:jc w:val="center"/>
        </w:trPr>
        <w:tc>
          <w:tcPr>
            <w:tcW w:w="743" w:type="dxa"/>
          </w:tcPr>
          <w:p w:rsidR="0094424E" w:rsidRPr="007265C0" w:rsidRDefault="00DA2495" w:rsidP="00D44968">
            <w:pPr>
              <w:suppressLineNumbers/>
              <w:jc w:val="both"/>
              <w:rPr>
                <w:rFonts w:ascii="Arial" w:hAnsi="Arial"/>
                <w:b/>
                <w:bCs/>
                <w:sz w:val="26"/>
                <w:szCs w:val="26"/>
                <w:rtl/>
              </w:rPr>
            </w:pPr>
            <w:r w:rsidRPr="007265C0">
              <w:rPr>
                <w:rFonts w:ascii="Arial" w:hAnsi="Arial" w:hint="cs"/>
                <w:b/>
                <w:bCs/>
                <w:sz w:val="26"/>
                <w:szCs w:val="26"/>
                <w:rtl/>
              </w:rPr>
              <w:t>ל</w:t>
            </w:r>
            <w:r w:rsidR="0094424E" w:rsidRPr="007265C0">
              <w:rPr>
                <w:rFonts w:ascii="Arial" w:hAnsi="Arial"/>
                <w:b/>
                <w:bCs/>
                <w:sz w:val="26"/>
                <w:szCs w:val="26"/>
                <w:rtl/>
              </w:rPr>
              <w:t xml:space="preserve">פני </w:t>
            </w:r>
          </w:p>
        </w:tc>
        <w:tc>
          <w:tcPr>
            <w:tcW w:w="8077" w:type="dxa"/>
            <w:gridSpan w:val="2"/>
          </w:tcPr>
          <w:p w:rsidR="0094424E" w:rsidRPr="007265C0" w:rsidRDefault="000529D2" w:rsidP="007D3C63">
            <w:pPr>
              <w:suppressLineNumbers/>
              <w:rPr>
                <w:rFonts w:ascii="Arial" w:hAnsi="Arial" w:cs="FrankRuehl"/>
                <w:sz w:val="26"/>
                <w:szCs w:val="26"/>
              </w:rPr>
            </w:pPr>
            <w:r w:rsidRPr="007265C0">
              <w:rPr>
                <w:rFonts w:ascii="Arial" w:hAnsi="Arial" w:hint="cs"/>
                <w:b/>
                <w:bCs/>
                <w:sz w:val="26"/>
                <w:szCs w:val="26"/>
                <w:rtl/>
              </w:rPr>
              <w:t>כבוד</w:t>
            </w:r>
            <w:r w:rsidR="0094424E" w:rsidRPr="007265C0">
              <w:rPr>
                <w:rFonts w:ascii="Arial" w:hAnsi="Arial" w:hint="cs"/>
                <w:b/>
                <w:bCs/>
                <w:sz w:val="26"/>
                <w:szCs w:val="26"/>
                <w:rtl/>
              </w:rPr>
              <w:t xml:space="preserve"> ה</w:t>
            </w:r>
            <w:sdt>
              <w:sdtPr>
                <w:rPr>
                  <w:sz w:val="26"/>
                  <w:szCs w:val="26"/>
                  <w:rtl/>
                </w:rPr>
                <w:alias w:val="1574"/>
                <w:tag w:val="1574"/>
                <w:id w:val="414602899"/>
                <w:text w:multiLine="1"/>
              </w:sdtPr>
              <w:sdtEndPr/>
              <w:sdtContent>
                <w:r w:rsidRPr="007265C0">
                  <w:rPr>
                    <w:rFonts w:ascii="Arial" w:hAnsi="Arial"/>
                    <w:b/>
                    <w:bCs/>
                    <w:sz w:val="26"/>
                    <w:szCs w:val="26"/>
                    <w:rtl/>
                  </w:rPr>
                  <w:t>שופט</w:t>
                </w:r>
                <w:r w:rsidR="00F53C8C" w:rsidRPr="007265C0">
                  <w:rPr>
                    <w:rFonts w:ascii="Arial" w:hAnsi="Arial" w:hint="cs"/>
                    <w:b/>
                    <w:bCs/>
                    <w:sz w:val="26"/>
                    <w:szCs w:val="26"/>
                    <w:rtl/>
                  </w:rPr>
                  <w:t>ים ח</w:t>
                </w:r>
                <w:r w:rsidR="007D3C63">
                  <w:rPr>
                    <w:rFonts w:ascii="Arial" w:hAnsi="Arial" w:hint="cs"/>
                    <w:b/>
                    <w:bCs/>
                    <w:sz w:val="26"/>
                    <w:szCs w:val="26"/>
                    <w:rtl/>
                  </w:rPr>
                  <w:t>'</w:t>
                </w:r>
                <w:r w:rsidR="00F53C8C" w:rsidRPr="007265C0">
                  <w:rPr>
                    <w:rFonts w:ascii="Arial" w:hAnsi="Arial" w:hint="cs"/>
                    <w:b/>
                    <w:bCs/>
                    <w:sz w:val="26"/>
                    <w:szCs w:val="26"/>
                    <w:rtl/>
                  </w:rPr>
                  <w:t xml:space="preserve"> מאק-קלמנוביץ, מ' ליפשיץ-פריבס, א' סלע</w:t>
                </w:r>
                <w:r w:rsidR="00F53C8C" w:rsidRPr="007265C0">
                  <w:rPr>
                    <w:sz w:val="26"/>
                    <w:szCs w:val="26"/>
                    <w:rtl/>
                  </w:rPr>
                  <w:br/>
                </w:r>
              </w:sdtContent>
            </w:sdt>
          </w:p>
        </w:tc>
      </w:tr>
      <w:tr w:rsidR="007265C0" w:rsidRPr="007265C0" w:rsidTr="00465D36">
        <w:trPr>
          <w:jc w:val="center"/>
        </w:trPr>
        <w:tc>
          <w:tcPr>
            <w:tcW w:w="3249" w:type="dxa"/>
            <w:gridSpan w:val="2"/>
          </w:tcPr>
          <w:p w:rsidR="0094424E" w:rsidRPr="007D3C63"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93274" w:rsidRPr="007265C0" w:rsidRDefault="00F53C8C">
                <w:pPr>
                  <w:suppressLineNumbers/>
                  <w:rPr>
                    <w:rFonts w:ascii="Arial" w:hAnsi="Arial"/>
                    <w:b/>
                    <w:bCs/>
                    <w:noProof w:val="0"/>
                    <w:sz w:val="26"/>
                    <w:szCs w:val="26"/>
                    <w:rtl/>
                  </w:rPr>
                </w:pPr>
                <w:r w:rsidRPr="007265C0">
                  <w:rPr>
                    <w:rFonts w:ascii="Arial" w:hAnsi="Arial" w:hint="cs"/>
                    <w:b/>
                    <w:bCs/>
                    <w:noProof w:val="0"/>
                    <w:sz w:val="26"/>
                    <w:szCs w:val="26"/>
                    <w:rtl/>
                  </w:rPr>
                  <w:t>ה</w:t>
                </w:r>
                <w:r w:rsidR="00061069" w:rsidRPr="007265C0">
                  <w:rPr>
                    <w:rFonts w:ascii="Arial" w:hAnsi="Arial"/>
                    <w:b/>
                    <w:bCs/>
                    <w:noProof w:val="0"/>
                    <w:sz w:val="26"/>
                    <w:szCs w:val="26"/>
                    <w:rtl/>
                  </w:rPr>
                  <w:t>מאשימה</w:t>
                </w:r>
              </w:p>
            </w:sdtContent>
          </w:sdt>
        </w:tc>
        <w:tc>
          <w:tcPr>
            <w:tcW w:w="5571" w:type="dxa"/>
          </w:tcPr>
          <w:p w:rsidR="0094424E" w:rsidRPr="007265C0" w:rsidRDefault="0094424E" w:rsidP="00D44968">
            <w:pPr>
              <w:suppressLineNumbers/>
              <w:rPr>
                <w:rFonts w:ascii="Arial" w:hAnsi="Arial"/>
                <w:b/>
                <w:bCs/>
                <w:noProof w:val="0"/>
                <w:sz w:val="26"/>
                <w:szCs w:val="26"/>
                <w:rtl/>
              </w:rPr>
            </w:pPr>
          </w:p>
          <w:p w:rsidR="00F53C8C" w:rsidRPr="007265C0" w:rsidRDefault="00A20A9B" w:rsidP="007C2453">
            <w:pPr>
              <w:suppressLineNumbers/>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sidRPr="007265C0">
                  <w:rPr>
                    <w:rFonts w:ascii="Arial" w:hAnsi="Arial" w:hint="eastAsia"/>
                    <w:b/>
                    <w:bCs/>
                    <w:noProof w:val="0"/>
                    <w:sz w:val="26"/>
                    <w:szCs w:val="26"/>
                    <w:rtl/>
                  </w:rPr>
                  <w:t>מדינת ישראל</w:t>
                </w:r>
              </w:sdtContent>
            </w:sdt>
            <w:r w:rsidR="00B859C5" w:rsidRPr="007265C0">
              <w:rPr>
                <w:rFonts w:hint="cs"/>
                <w:rtl/>
              </w:rPr>
              <w:t xml:space="preserve"> </w:t>
            </w:r>
          </w:p>
          <w:p w:rsidR="0094424E" w:rsidRPr="007265C0" w:rsidRDefault="00B859C5" w:rsidP="007C2453">
            <w:pPr>
              <w:suppressLineNumbers/>
              <w:rPr>
                <w:b/>
                <w:bCs/>
                <w:noProof w:val="0"/>
                <w:sz w:val="26"/>
                <w:szCs w:val="26"/>
                <w:rtl/>
              </w:rPr>
            </w:pPr>
            <w:r w:rsidRPr="007265C0">
              <w:rPr>
                <w:rFonts w:ascii="Arial" w:hAnsi="Arial"/>
                <w:b/>
                <w:bCs/>
                <w:noProof w:val="0"/>
                <w:sz w:val="26"/>
                <w:szCs w:val="26"/>
                <w:rtl/>
              </w:rPr>
              <w:t>ע"י ב"כ עוה"ד</w:t>
            </w:r>
            <w:r w:rsidR="00F53C8C" w:rsidRPr="007265C0">
              <w:rPr>
                <w:rFonts w:hint="cs"/>
                <w:b/>
                <w:bCs/>
                <w:noProof w:val="0"/>
                <w:sz w:val="26"/>
                <w:szCs w:val="26"/>
                <w:rtl/>
              </w:rPr>
              <w:t xml:space="preserve"> גאולה כהן, שירה נתן, ג'ני אבני</w:t>
            </w:r>
          </w:p>
          <w:p w:rsidR="00F53C8C" w:rsidRPr="007265C0" w:rsidRDefault="00F53C8C" w:rsidP="007C2453">
            <w:pPr>
              <w:suppressLineNumbers/>
              <w:rPr>
                <w:b/>
                <w:bCs/>
                <w:noProof w:val="0"/>
                <w:sz w:val="26"/>
                <w:szCs w:val="26"/>
              </w:rPr>
            </w:pPr>
            <w:r w:rsidRPr="007265C0">
              <w:rPr>
                <w:rFonts w:hint="cs"/>
                <w:b/>
                <w:bCs/>
                <w:noProof w:val="0"/>
                <w:sz w:val="26"/>
                <w:szCs w:val="26"/>
                <w:rtl/>
              </w:rPr>
              <w:t>מפרקליטות מחוז ירושלים - פלילי</w:t>
            </w:r>
          </w:p>
        </w:tc>
      </w:tr>
      <w:tr w:rsidR="007265C0" w:rsidRPr="007265C0">
        <w:trPr>
          <w:jc w:val="center"/>
        </w:trPr>
        <w:tc>
          <w:tcPr>
            <w:tcW w:w="8820" w:type="dxa"/>
            <w:gridSpan w:val="3"/>
          </w:tcPr>
          <w:p w:rsidR="0094424E" w:rsidRPr="007265C0" w:rsidRDefault="0094424E" w:rsidP="00D44968">
            <w:pPr>
              <w:suppressLineNumbers/>
              <w:rPr>
                <w:rFonts w:ascii="Arial" w:hAnsi="Arial"/>
                <w:b/>
                <w:bCs/>
                <w:noProof w:val="0"/>
                <w:sz w:val="26"/>
                <w:szCs w:val="26"/>
                <w:rtl/>
              </w:rPr>
            </w:pPr>
          </w:p>
          <w:p w:rsidR="0094424E" w:rsidRPr="007265C0" w:rsidRDefault="0094424E" w:rsidP="00D44968">
            <w:pPr>
              <w:suppressLineNumbers/>
              <w:jc w:val="center"/>
              <w:rPr>
                <w:rFonts w:ascii="Arial" w:hAnsi="Arial"/>
                <w:b/>
                <w:bCs/>
                <w:noProof w:val="0"/>
                <w:sz w:val="26"/>
                <w:szCs w:val="26"/>
                <w:rtl/>
              </w:rPr>
            </w:pPr>
            <w:r w:rsidRPr="007265C0">
              <w:rPr>
                <w:rFonts w:ascii="Arial" w:hAnsi="Arial"/>
                <w:b/>
                <w:bCs/>
                <w:noProof w:val="0"/>
                <w:sz w:val="26"/>
                <w:szCs w:val="26"/>
                <w:rtl/>
              </w:rPr>
              <w:t>נגד</w:t>
            </w:r>
          </w:p>
          <w:p w:rsidR="0094424E" w:rsidRPr="007265C0" w:rsidRDefault="0094424E" w:rsidP="00D44968">
            <w:pPr>
              <w:suppressLineNumbers/>
              <w:rPr>
                <w:rFonts w:ascii="Arial" w:hAnsi="Arial"/>
                <w:b/>
                <w:bCs/>
                <w:noProof w:val="0"/>
                <w:sz w:val="26"/>
                <w:szCs w:val="26"/>
              </w:rPr>
            </w:pPr>
          </w:p>
        </w:tc>
      </w:tr>
      <w:tr w:rsidR="007265C0" w:rsidRPr="007265C0" w:rsidTr="009E461A">
        <w:trPr>
          <w:jc w:val="center"/>
        </w:trPr>
        <w:tc>
          <w:tcPr>
            <w:tcW w:w="3249" w:type="dxa"/>
            <w:gridSpan w:val="2"/>
          </w:tcPr>
          <w:p w:rsidR="0094424E" w:rsidRPr="007265C0" w:rsidRDefault="00A20A9B" w:rsidP="009E461A">
            <w:pPr>
              <w:suppressLineNumbers/>
              <w:rPr>
                <w:rFonts w:ascii="Arial" w:hAnsi="Arial"/>
                <w:b/>
                <w:bCs/>
                <w:noProof w:val="0"/>
                <w:sz w:val="26"/>
                <w:szCs w:val="26"/>
              </w:rPr>
            </w:pPr>
            <w:sdt>
              <w:sdtPr>
                <w:rPr>
                  <w:rtl/>
                </w:rPr>
                <w:alias w:val="1184"/>
                <w:tag w:val="1184"/>
                <w:id w:val="-340621022"/>
                <w:text w:multiLine="1"/>
              </w:sdtPr>
              <w:sdtEndPr/>
              <w:sdtContent>
                <w:r w:rsidR="00F53C8C" w:rsidRPr="007265C0">
                  <w:rPr>
                    <w:rFonts w:ascii="Arial" w:hAnsi="Arial" w:hint="cs"/>
                    <w:b/>
                    <w:bCs/>
                    <w:noProof w:val="0"/>
                    <w:sz w:val="26"/>
                    <w:szCs w:val="26"/>
                    <w:rtl/>
                  </w:rPr>
                  <w:t>ה</w:t>
                </w:r>
                <w:r w:rsidR="00F53C8C" w:rsidRPr="007265C0">
                  <w:rPr>
                    <w:rFonts w:ascii="Arial" w:hAnsi="Arial"/>
                    <w:b/>
                    <w:bCs/>
                    <w:noProof w:val="0"/>
                    <w:sz w:val="26"/>
                    <w:szCs w:val="26"/>
                    <w:rtl/>
                  </w:rPr>
                  <w:t>נאש</w:t>
                </w:r>
                <w:r w:rsidR="00424313" w:rsidRPr="007265C0">
                  <w:rPr>
                    <w:rFonts w:ascii="Arial" w:hAnsi="Arial"/>
                    <w:b/>
                    <w:bCs/>
                    <w:noProof w:val="0"/>
                    <w:sz w:val="26"/>
                    <w:szCs w:val="26"/>
                    <w:rtl/>
                  </w:rPr>
                  <w:t>ם</w:t>
                </w:r>
              </w:sdtContent>
            </w:sdt>
          </w:p>
        </w:tc>
        <w:tc>
          <w:tcPr>
            <w:tcW w:w="5571" w:type="dxa"/>
          </w:tcPr>
          <w:p w:rsidR="00F53C8C" w:rsidRPr="007265C0" w:rsidRDefault="007C2453" w:rsidP="00F53C8C">
            <w:pPr>
              <w:suppressLineNumbers/>
              <w:rPr>
                <w:rtl/>
              </w:rPr>
            </w:pPr>
            <w:r w:rsidRPr="007265C0">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F53C8C" w:rsidRPr="007265C0">
                  <w:rPr>
                    <w:rFonts w:ascii="Arial" w:hAnsi="Arial" w:hint="eastAsia"/>
                    <w:b/>
                    <w:bCs/>
                    <w:noProof w:val="0"/>
                    <w:sz w:val="26"/>
                    <w:szCs w:val="26"/>
                    <w:rtl/>
                  </w:rPr>
                  <w:t xml:space="preserve">בנימין זאבי </w:t>
                </w:r>
              </w:sdtContent>
            </w:sdt>
          </w:p>
          <w:p w:rsidR="00CF6BB7" w:rsidRPr="007265C0" w:rsidRDefault="00B859C5" w:rsidP="007C2453">
            <w:pPr>
              <w:suppressLineNumbers/>
              <w:rPr>
                <w:rFonts w:ascii="Arial" w:hAnsi="Arial"/>
                <w:b/>
                <w:bCs/>
                <w:noProof w:val="0"/>
                <w:sz w:val="26"/>
                <w:szCs w:val="26"/>
                <w:rtl/>
              </w:rPr>
            </w:pPr>
            <w:r w:rsidRPr="007265C0">
              <w:rPr>
                <w:rFonts w:ascii="Arial" w:hAnsi="Arial"/>
                <w:b/>
                <w:bCs/>
                <w:noProof w:val="0"/>
                <w:sz w:val="26"/>
                <w:szCs w:val="26"/>
                <w:rtl/>
              </w:rPr>
              <w:t>ע"י ב"כ עוה"ד</w:t>
            </w:r>
            <w:r w:rsidR="00F53C8C" w:rsidRPr="007265C0">
              <w:rPr>
                <w:rFonts w:ascii="Arial" w:hAnsi="Arial" w:hint="cs"/>
                <w:b/>
                <w:bCs/>
                <w:noProof w:val="0"/>
                <w:sz w:val="26"/>
                <w:szCs w:val="26"/>
                <w:rtl/>
              </w:rPr>
              <w:t xml:space="preserve"> רצון דרחי, שרון שפר</w:t>
            </w:r>
          </w:p>
          <w:p w:rsidR="00F53C8C" w:rsidRPr="007265C0" w:rsidRDefault="00F53C8C" w:rsidP="007C2453">
            <w:pPr>
              <w:suppressLineNumbers/>
              <w:rPr>
                <w:rtl/>
              </w:rPr>
            </w:pPr>
          </w:p>
        </w:tc>
      </w:tr>
      <w:tr w:rsidR="007265C0" w:rsidRPr="007265C0" w:rsidTr="00D620FD">
        <w:trPr>
          <w:jc w:val="center"/>
        </w:trPr>
        <w:tc>
          <w:tcPr>
            <w:tcW w:w="8820" w:type="dxa"/>
            <w:gridSpan w:val="3"/>
          </w:tcPr>
          <w:p w:rsidR="00493274" w:rsidRPr="007265C0" w:rsidRDefault="00493274">
            <w:pPr>
              <w:suppressLineNumbers/>
              <w:rPr>
                <w:rFonts w:ascii="Arial" w:hAnsi="Arial"/>
                <w:b/>
                <w:bCs/>
                <w:noProof w:val="0"/>
                <w:sz w:val="26"/>
                <w:szCs w:val="26"/>
                <w:rtl/>
              </w:rPr>
            </w:pPr>
          </w:p>
          <w:p w:rsidR="00F1236D" w:rsidRDefault="00F1236D">
            <w:pPr>
              <w:suppressLineNumbers/>
              <w:rPr>
                <w:rFonts w:ascii="Arial" w:hAnsi="Arial"/>
                <w:b/>
                <w:bCs/>
                <w:noProof w:val="0"/>
                <w:sz w:val="26"/>
                <w:szCs w:val="26"/>
                <w:rtl/>
              </w:rPr>
            </w:pPr>
          </w:p>
          <w:p w:rsidR="007265C0" w:rsidRDefault="007265C0">
            <w:pPr>
              <w:suppressLineNumbers/>
              <w:rPr>
                <w:rFonts w:ascii="Arial" w:hAnsi="Arial"/>
                <w:b/>
                <w:bCs/>
                <w:noProof w:val="0"/>
                <w:sz w:val="26"/>
                <w:szCs w:val="26"/>
                <w:rtl/>
              </w:rPr>
            </w:pPr>
          </w:p>
          <w:p w:rsidR="007265C0" w:rsidRPr="007265C0" w:rsidRDefault="007265C0">
            <w:pPr>
              <w:suppressLineNumbers/>
              <w:rPr>
                <w:rFonts w:ascii="Arial" w:hAnsi="Arial"/>
                <w:b/>
                <w:bCs/>
                <w:noProof w:val="0"/>
                <w:sz w:val="26"/>
                <w:szCs w:val="26"/>
                <w:rtl/>
              </w:rPr>
            </w:pPr>
          </w:p>
        </w:tc>
      </w:tr>
    </w:tbl>
    <w:p w:rsidR="0094424E" w:rsidRPr="007265C0"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265C0" w:rsidRPr="007265C0">
        <w:trPr>
          <w:jc w:val="center"/>
        </w:trPr>
        <w:tc>
          <w:tcPr>
            <w:tcW w:w="8820" w:type="dxa"/>
          </w:tcPr>
          <w:p w:rsidR="00B86A50" w:rsidRPr="007265C0" w:rsidRDefault="00B86A50">
            <w:pPr>
              <w:bidi w:val="0"/>
              <w:jc w:val="center"/>
              <w:rPr>
                <w:rFonts w:ascii="Arial" w:hAnsi="Arial"/>
                <w:b/>
                <w:bCs/>
                <w:noProof w:val="0"/>
                <w:sz w:val="28"/>
                <w:szCs w:val="28"/>
                <w:u w:val="single"/>
              </w:rPr>
            </w:pPr>
            <w:r w:rsidRPr="007265C0">
              <w:rPr>
                <w:rFonts w:ascii="Arial" w:hAnsi="Arial" w:hint="cs"/>
                <w:b/>
                <w:bCs/>
                <w:noProof w:val="0"/>
                <w:sz w:val="28"/>
                <w:szCs w:val="28"/>
                <w:u w:val="single"/>
                <w:rtl/>
              </w:rPr>
              <w:t>החלטה בטענת התיישנות</w:t>
            </w:r>
          </w:p>
          <w:p w:rsidR="00694556" w:rsidRPr="007265C0" w:rsidRDefault="00B86A50" w:rsidP="00B86A50">
            <w:pPr>
              <w:bidi w:val="0"/>
              <w:jc w:val="center"/>
              <w:rPr>
                <w:rFonts w:ascii="Arial" w:hAnsi="Arial"/>
                <w:b/>
                <w:bCs/>
                <w:noProof w:val="0"/>
                <w:sz w:val="28"/>
                <w:szCs w:val="28"/>
                <w:u w:val="single"/>
                <w:rtl/>
              </w:rPr>
            </w:pPr>
            <w:r w:rsidRPr="007265C0">
              <w:rPr>
                <w:rFonts w:ascii="Arial" w:hAnsi="Arial" w:hint="cs"/>
                <w:b/>
                <w:bCs/>
                <w:noProof w:val="0"/>
                <w:sz w:val="28"/>
                <w:szCs w:val="28"/>
                <w:u w:val="single"/>
                <w:rtl/>
              </w:rPr>
              <w:t>ו</w:t>
            </w:r>
            <w:r w:rsidR="003E38C7" w:rsidRPr="007265C0">
              <w:rPr>
                <w:rFonts w:ascii="Arial" w:hAnsi="Arial" w:hint="cs"/>
                <w:b/>
                <w:bCs/>
                <w:noProof w:val="0"/>
                <w:sz w:val="28"/>
                <w:szCs w:val="28"/>
                <w:u w:val="single"/>
                <w:rtl/>
              </w:rPr>
              <w:t>פסק דין</w:t>
            </w:r>
          </w:p>
          <w:p w:rsidR="00D44968" w:rsidRPr="007265C0" w:rsidRDefault="00D44968" w:rsidP="00D44968">
            <w:pPr>
              <w:bidi w:val="0"/>
              <w:jc w:val="center"/>
              <w:rPr>
                <w:rFonts w:ascii="Arial" w:hAnsi="Arial"/>
                <w:b/>
                <w:bCs/>
                <w:noProof w:val="0"/>
                <w:sz w:val="28"/>
                <w:szCs w:val="28"/>
                <w:u w:val="single"/>
              </w:rPr>
            </w:pPr>
          </w:p>
        </w:tc>
      </w:tr>
    </w:tbl>
    <w:p w:rsidR="00F1236D" w:rsidRPr="007265C0" w:rsidRDefault="00F1236D" w:rsidP="00F53C8C">
      <w:pPr>
        <w:spacing w:after="160" w:line="360" w:lineRule="auto"/>
        <w:jc w:val="both"/>
        <w:rPr>
          <w:rFonts w:ascii="David" w:eastAsia="Calibri" w:hAnsi="David"/>
          <w:b/>
          <w:bCs/>
          <w:noProof w:val="0"/>
          <w:sz w:val="22"/>
          <w:szCs w:val="22"/>
          <w:u w:val="single"/>
          <w:rtl/>
        </w:rPr>
      </w:pPr>
      <w:bookmarkStart w:id="1" w:name="NGCSBookmark"/>
      <w:bookmarkEnd w:id="1"/>
      <w:r w:rsidRPr="007265C0">
        <w:rPr>
          <w:rFonts w:ascii="David" w:eastAsia="Calibri" w:hAnsi="David" w:hint="cs"/>
          <w:b/>
          <w:bCs/>
          <w:noProof w:val="0"/>
          <w:sz w:val="22"/>
          <w:szCs w:val="22"/>
          <w:u w:val="single"/>
          <w:rtl/>
        </w:rPr>
        <w:t>העובדות וטענות הצדדים</w:t>
      </w:r>
    </w:p>
    <w:p w:rsidR="00F53C8C" w:rsidRPr="00F53C8C" w:rsidRDefault="00B86A50" w:rsidP="00F53C8C">
      <w:pPr>
        <w:spacing w:after="160" w:line="360" w:lineRule="auto"/>
        <w:jc w:val="both"/>
        <w:rPr>
          <w:rFonts w:ascii="David" w:eastAsia="Calibri" w:hAnsi="David"/>
          <w:noProof w:val="0"/>
          <w:rtl/>
        </w:rPr>
      </w:pPr>
      <w:r w:rsidRPr="007265C0">
        <w:rPr>
          <w:rFonts w:ascii="David" w:eastAsia="Calibri" w:hAnsi="David" w:hint="cs"/>
          <w:noProof w:val="0"/>
          <w:sz w:val="22"/>
          <w:szCs w:val="22"/>
          <w:rtl/>
        </w:rPr>
        <w:t>1.</w:t>
      </w:r>
      <w:r w:rsidRPr="007265C0">
        <w:rPr>
          <w:rFonts w:ascii="David" w:eastAsia="Calibri" w:hAnsi="David" w:hint="cs"/>
          <w:b/>
          <w:bCs/>
          <w:noProof w:val="0"/>
          <w:sz w:val="28"/>
          <w:szCs w:val="28"/>
          <w:rtl/>
        </w:rPr>
        <w:tab/>
      </w:r>
      <w:r w:rsidR="00F53C8C" w:rsidRPr="00F53C8C">
        <w:rPr>
          <w:rFonts w:ascii="David" w:eastAsia="Calibri" w:hAnsi="David"/>
          <w:noProof w:val="0"/>
          <w:rtl/>
        </w:rPr>
        <w:t>בראשית שנת 1986 נעלמו עקבותיו של ניסים שטרית, תושב ירושלים יליד 1969, ולא נמצאו עד היום.</w:t>
      </w:r>
    </w:p>
    <w:p w:rsidR="00B86A50" w:rsidRPr="007265C0" w:rsidRDefault="00F53C8C" w:rsidP="00B86A50">
      <w:pPr>
        <w:spacing w:after="160" w:line="360" w:lineRule="auto"/>
        <w:ind w:firstLine="720"/>
        <w:jc w:val="both"/>
        <w:rPr>
          <w:rFonts w:ascii="David" w:eastAsia="Calibri" w:hAnsi="David"/>
          <w:noProof w:val="0"/>
          <w:rtl/>
        </w:rPr>
      </w:pPr>
      <w:r w:rsidRPr="00F53C8C">
        <w:rPr>
          <w:rFonts w:ascii="David" w:eastAsia="Calibri" w:hAnsi="David"/>
          <w:noProof w:val="0"/>
          <w:rtl/>
        </w:rPr>
        <w:t>בחלוף 36 שנים, ביום 3.12.2021 הוגש נגד הנאשם כתב אישום המייחס לו עבירה של רצח תוך ביצוע עבירה לפי סעיף 300(א)(3) לחוק העונשין, התשל"ז-1977 (להלן: "</w:t>
      </w:r>
      <w:r w:rsidRPr="00F53C8C">
        <w:rPr>
          <w:rFonts w:ascii="David" w:eastAsia="Calibri" w:hAnsi="David"/>
          <w:b/>
          <w:bCs/>
          <w:noProof w:val="0"/>
          <w:rtl/>
        </w:rPr>
        <w:t>חוק העונשין</w:t>
      </w:r>
      <w:r w:rsidRPr="00F53C8C">
        <w:rPr>
          <w:rFonts w:ascii="David" w:eastAsia="Calibri" w:hAnsi="David"/>
          <w:noProof w:val="0"/>
          <w:rtl/>
        </w:rPr>
        <w:t>") בנוסחו בעת ביצוע העבירה קודם לרפורמה בעבירות המתה (תיקון מס' 137 לחוק העונשין), בשל חלקו ברצח ניסים שטרית (להלן: "</w:t>
      </w:r>
      <w:r w:rsidRPr="00F53C8C">
        <w:rPr>
          <w:rFonts w:ascii="David" w:eastAsia="Calibri" w:hAnsi="David"/>
          <w:b/>
          <w:bCs/>
          <w:noProof w:val="0"/>
          <w:rtl/>
        </w:rPr>
        <w:t>המנוח</w:t>
      </w:r>
      <w:r w:rsidRPr="00F53C8C">
        <w:rPr>
          <w:rFonts w:ascii="David" w:eastAsia="Calibri" w:hAnsi="David"/>
          <w:noProof w:val="0"/>
          <w:rtl/>
        </w:rPr>
        <w:t>") בראשית שנת 1986.</w:t>
      </w:r>
    </w:p>
    <w:p w:rsidR="00F53C8C" w:rsidRPr="00F53C8C" w:rsidRDefault="00B86A50" w:rsidP="002A6DE5">
      <w:pPr>
        <w:spacing w:after="160" w:line="360" w:lineRule="auto"/>
        <w:jc w:val="both"/>
        <w:rPr>
          <w:rFonts w:ascii="David" w:eastAsia="Calibri" w:hAnsi="David"/>
          <w:noProof w:val="0"/>
          <w:rtl/>
        </w:rPr>
      </w:pPr>
      <w:r w:rsidRPr="007265C0">
        <w:rPr>
          <w:rFonts w:ascii="David" w:eastAsia="Calibri" w:hAnsi="David" w:hint="cs"/>
          <w:noProof w:val="0"/>
          <w:rtl/>
        </w:rPr>
        <w:t>2.</w:t>
      </w:r>
      <w:r w:rsidRPr="007265C0">
        <w:rPr>
          <w:rFonts w:ascii="David" w:eastAsia="Calibri" w:hAnsi="David" w:hint="cs"/>
          <w:noProof w:val="0"/>
          <w:rtl/>
        </w:rPr>
        <w:tab/>
      </w:r>
      <w:r w:rsidR="00F53C8C" w:rsidRPr="00F53C8C">
        <w:rPr>
          <w:rFonts w:ascii="David" w:eastAsia="Calibri" w:hAnsi="David"/>
          <w:noProof w:val="0"/>
          <w:rtl/>
        </w:rPr>
        <w:t xml:space="preserve">לפי המתואר בכתב האישום, הרקע לרצח הוא חשד של אנשים הקשורים לקהילת "שובו בנים" בראשה עומד הרב אליעזר ברלנד, במנוח כמי שקיים מפגשים עם נשים בניגוד לנורמות הדתיות של אנשי הקהילה. בשל חשד זה, שהתעורר בשנת 1985, הנחה צביקה צוקר חתנו של ברלנד - שריכז באותה תקופה פעילות שעניינה נקיטת פעולות אלימות כנגד מי שלדעתו או לדעת ברלנד סטו מהנורמות הדתיות </w:t>
      </w:r>
      <w:r w:rsidR="002A6DE5" w:rsidRPr="007265C0">
        <w:rPr>
          <w:rFonts w:ascii="David" w:eastAsia="Calibri" w:hAnsi="David" w:hint="cs"/>
          <w:noProof w:val="0"/>
          <w:rtl/>
        </w:rPr>
        <w:t>של הקהילה</w:t>
      </w:r>
      <w:r w:rsidR="00F53C8C" w:rsidRPr="00F53C8C">
        <w:rPr>
          <w:rFonts w:ascii="David" w:eastAsia="Calibri" w:hAnsi="David"/>
          <w:noProof w:val="0"/>
          <w:rtl/>
        </w:rPr>
        <w:t xml:space="preserve"> - לאיים על המנוח כדי שימנע מלהיפגש עם נשים. ואכ</w:t>
      </w:r>
      <w:r w:rsidR="002A6DE5" w:rsidRPr="007265C0">
        <w:rPr>
          <w:rFonts w:ascii="David" w:eastAsia="Calibri" w:hAnsi="David"/>
          <w:noProof w:val="0"/>
          <w:rtl/>
        </w:rPr>
        <w:t>ן, אחד מחברי הקהילה יחד עם שני</w:t>
      </w:r>
      <w:r w:rsidR="002A6DE5" w:rsidRPr="007265C0">
        <w:rPr>
          <w:rFonts w:ascii="David" w:eastAsia="Calibri" w:hAnsi="David" w:hint="cs"/>
          <w:noProof w:val="0"/>
          <w:rtl/>
        </w:rPr>
        <w:t xml:space="preserve"> אנשים</w:t>
      </w:r>
      <w:r w:rsidR="00F53C8C" w:rsidRPr="00F53C8C">
        <w:rPr>
          <w:rFonts w:ascii="David" w:eastAsia="Calibri" w:hAnsi="David"/>
          <w:noProof w:val="0"/>
          <w:rtl/>
        </w:rPr>
        <w:t xml:space="preserve"> נוספים, פעלו ביום 20.06.1985 על פי הנחיותיו של צוקר, הסיעו את המנוח מישיבה באשדוד בה למד לחוף הים וליער סמוך</w:t>
      </w:r>
      <w:r w:rsidR="002A6DE5" w:rsidRPr="007265C0">
        <w:rPr>
          <w:rFonts w:ascii="David" w:eastAsia="Calibri" w:hAnsi="David" w:hint="cs"/>
          <w:noProof w:val="0"/>
          <w:rtl/>
        </w:rPr>
        <w:t>,</w:t>
      </w:r>
      <w:r w:rsidR="00F53C8C" w:rsidRPr="00F53C8C">
        <w:rPr>
          <w:rFonts w:ascii="David" w:eastAsia="Calibri" w:hAnsi="David"/>
          <w:noProof w:val="0"/>
          <w:rtl/>
        </w:rPr>
        <w:t xml:space="preserve"> שם הם איימו עליו והיכו אותו. על אירוע זה התלונן המנוח במשטרה ביום 9.07.1985.</w:t>
      </w:r>
    </w:p>
    <w:p w:rsidR="00F53C8C" w:rsidRPr="00F53C8C" w:rsidRDefault="00F53C8C" w:rsidP="00B86A50">
      <w:pPr>
        <w:spacing w:after="160" w:line="360" w:lineRule="auto"/>
        <w:ind w:firstLine="720"/>
        <w:jc w:val="both"/>
        <w:rPr>
          <w:rFonts w:ascii="David" w:eastAsia="Calibri" w:hAnsi="David"/>
          <w:noProof w:val="0"/>
          <w:rtl/>
        </w:rPr>
      </w:pPr>
      <w:r w:rsidRPr="00F53C8C">
        <w:rPr>
          <w:rFonts w:ascii="David" w:eastAsia="Calibri" w:hAnsi="David"/>
          <w:noProof w:val="0"/>
          <w:rtl/>
        </w:rPr>
        <w:lastRenderedPageBreak/>
        <w:t>בחלוף זמן, הורו ברלנד וצוקר לנאשם ולאנשים נוספים מהקהילה לגרום למנוח "לחזור בתשובה" ולחדול מלהיפגש עם נשים, שוב באמצעים אלימים – מכות ואיומים. נטען, כי בעקבות הנחיה זו קשר הנאשם יחד עם צוקר ואחרים (להלן: "</w:t>
      </w:r>
      <w:r w:rsidRPr="00F53C8C">
        <w:rPr>
          <w:rFonts w:ascii="David" w:eastAsia="Calibri" w:hAnsi="David"/>
          <w:b/>
          <w:bCs/>
          <w:noProof w:val="0"/>
          <w:rtl/>
        </w:rPr>
        <w:t>הקבוצה"</w:t>
      </w:r>
      <w:r w:rsidRPr="00F53C8C">
        <w:rPr>
          <w:rFonts w:ascii="David" w:eastAsia="Calibri" w:hAnsi="David"/>
          <w:noProof w:val="0"/>
          <w:rtl/>
        </w:rPr>
        <w:t xml:space="preserve">) קשר לחטוף את המנוח, לאיים עליו ולהכותו כדי לגרום לו לחדול מלהיפגש עם נשים. למטרה זו גייסה הקבוצה חברת קהילה שתפתה את המנוח להגיע למפגש, אז הוא ייחטף על ידם והם יכו אותו ויאיימו עליו. </w:t>
      </w:r>
    </w:p>
    <w:p w:rsidR="00F53C8C" w:rsidRPr="00F53C8C" w:rsidRDefault="00B86A50" w:rsidP="00F53C8C">
      <w:pPr>
        <w:spacing w:after="160" w:line="360" w:lineRule="auto"/>
        <w:jc w:val="both"/>
        <w:rPr>
          <w:rFonts w:ascii="David" w:eastAsia="Calibri" w:hAnsi="David"/>
          <w:noProof w:val="0"/>
          <w:rtl/>
        </w:rPr>
      </w:pPr>
      <w:r w:rsidRPr="007265C0">
        <w:rPr>
          <w:rFonts w:ascii="David" w:eastAsia="Calibri" w:hAnsi="David" w:hint="cs"/>
          <w:noProof w:val="0"/>
          <w:rtl/>
        </w:rPr>
        <w:t>3.</w:t>
      </w:r>
      <w:r w:rsidRPr="007265C0">
        <w:rPr>
          <w:rFonts w:ascii="David" w:eastAsia="Calibri" w:hAnsi="David" w:hint="cs"/>
          <w:noProof w:val="0"/>
          <w:rtl/>
        </w:rPr>
        <w:tab/>
      </w:r>
      <w:r w:rsidR="00F53C8C" w:rsidRPr="00F53C8C">
        <w:rPr>
          <w:rFonts w:ascii="David" w:eastAsia="Calibri" w:hAnsi="David"/>
          <w:noProof w:val="0"/>
          <w:rtl/>
        </w:rPr>
        <w:t>ביום 23.01.1986 בשעות הערב פעלה הקבוצה להוציא את התכנית לפועל, ולפי הנטען הנאשם ואחרים כפו על המנוח במרמה, בכוח ובאיומים להגיע אל דירה בירושלים וממנה להגיע ליער אשתאול</w:t>
      </w:r>
      <w:r w:rsidR="00F53C8C" w:rsidRPr="00F53C8C">
        <w:rPr>
          <w:rFonts w:ascii="David" w:eastAsia="Calibri" w:hAnsi="David"/>
          <w:noProof w:val="0"/>
        </w:rPr>
        <w:t>.</w:t>
      </w:r>
      <w:r w:rsidR="00F53C8C" w:rsidRPr="00F53C8C">
        <w:rPr>
          <w:rFonts w:ascii="David" w:eastAsia="Calibri" w:hAnsi="David"/>
          <w:noProof w:val="0"/>
          <w:rtl/>
        </w:rPr>
        <w:t xml:space="preserve"> בסופו של אותו ערב מת המנוח מהמכות שהפליאו בו הנאשם ואחרים. לאחר מותו קברו אותו הנאשם והאחרים בבור שכרו ביער בו המיתו את המנוח. גרימת מותו של המנוח על ידי הנאשם ביחד עם האחרים נעשתה כפעולה עונשית ובמטרה להרתיע ולכפות על ציבור אחרים את אורח חייהם של ברלנד וקהילת "שובו בנים".  </w:t>
      </w:r>
    </w:p>
    <w:p w:rsidR="00F53C8C" w:rsidRPr="00F53C8C" w:rsidRDefault="00B86A50" w:rsidP="00F53C8C">
      <w:pPr>
        <w:spacing w:after="160" w:line="360" w:lineRule="auto"/>
        <w:jc w:val="both"/>
        <w:rPr>
          <w:rFonts w:ascii="David" w:eastAsia="Calibri" w:hAnsi="David"/>
          <w:noProof w:val="0"/>
          <w:rtl/>
        </w:rPr>
      </w:pPr>
      <w:r w:rsidRPr="007265C0">
        <w:rPr>
          <w:rFonts w:ascii="David" w:eastAsia="Calibri" w:hAnsi="David" w:hint="cs"/>
          <w:noProof w:val="0"/>
          <w:rtl/>
        </w:rPr>
        <w:t>4.</w:t>
      </w:r>
      <w:r w:rsidRPr="007265C0">
        <w:rPr>
          <w:rFonts w:ascii="David" w:eastAsia="Calibri" w:hAnsi="David" w:hint="cs"/>
          <w:noProof w:val="0"/>
          <w:rtl/>
        </w:rPr>
        <w:tab/>
      </w:r>
      <w:r w:rsidR="00F53C8C" w:rsidRPr="00F53C8C">
        <w:rPr>
          <w:rFonts w:ascii="David" w:eastAsia="Calibri" w:hAnsi="David"/>
          <w:noProof w:val="0"/>
          <w:rtl/>
        </w:rPr>
        <w:t xml:space="preserve">לאחר הגשת כתב האישום, העלתה ההגנה מספר טענות מקדמיות, ביניהן כאלו הנוגעות לסעיף העבירה שיוחס לנאשם, טענות לאכיפה בררנית והגנה מן הצדק, וטענת התיישנות. </w:t>
      </w:r>
    </w:p>
    <w:p w:rsidR="00F53C8C" w:rsidRPr="00F53C8C" w:rsidRDefault="00F53C8C" w:rsidP="00B86A50">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בדיון ביום 5.02.2023 הוחלט בהסכמת הצדדים כי שאלת ההתיישנות  תידון תחילה. </w:t>
      </w:r>
    </w:p>
    <w:p w:rsidR="00F53C8C" w:rsidRPr="00F53C8C" w:rsidRDefault="00C6772F" w:rsidP="00447F1A">
      <w:pPr>
        <w:spacing w:after="160" w:line="360" w:lineRule="auto"/>
        <w:jc w:val="both"/>
        <w:rPr>
          <w:rFonts w:ascii="David" w:eastAsia="Calibri" w:hAnsi="David"/>
          <w:noProof w:val="0"/>
          <w:rtl/>
        </w:rPr>
      </w:pPr>
      <w:r w:rsidRPr="007265C0">
        <w:rPr>
          <w:rFonts w:ascii="David" w:eastAsia="Calibri" w:hAnsi="David" w:hint="cs"/>
          <w:noProof w:val="0"/>
          <w:rtl/>
        </w:rPr>
        <w:t>5.</w:t>
      </w:r>
      <w:r w:rsidRPr="007265C0">
        <w:rPr>
          <w:rFonts w:ascii="David" w:eastAsia="Calibri" w:hAnsi="David" w:hint="cs"/>
          <w:noProof w:val="0"/>
          <w:rtl/>
        </w:rPr>
        <w:tab/>
      </w:r>
      <w:r w:rsidR="00F53C8C" w:rsidRPr="00F53C8C">
        <w:rPr>
          <w:rFonts w:ascii="David" w:eastAsia="Calibri" w:hAnsi="David"/>
          <w:noProof w:val="0"/>
          <w:rtl/>
        </w:rPr>
        <w:t>בעניין ההת</w:t>
      </w:r>
      <w:r w:rsidR="00D82052" w:rsidRPr="007265C0">
        <w:rPr>
          <w:rFonts w:ascii="David" w:eastAsia="Calibri" w:hAnsi="David"/>
          <w:noProof w:val="0"/>
          <w:rtl/>
        </w:rPr>
        <w:t xml:space="preserve">יישנות טענו ב"כ הנאשם כי </w:t>
      </w:r>
      <w:r w:rsidR="00F53C8C" w:rsidRPr="00F53C8C">
        <w:rPr>
          <w:rFonts w:ascii="David" w:eastAsia="Calibri" w:hAnsi="David"/>
          <w:noProof w:val="0"/>
          <w:rtl/>
        </w:rPr>
        <w:t xml:space="preserve">כיום לא חלה התיישנות על עבירת הרצח המעוגנת בסעיף 300 לחוק העונשין, היא העבירה המיוחסת לנאשם, </w:t>
      </w:r>
      <w:r w:rsidR="00D82052" w:rsidRPr="007265C0">
        <w:rPr>
          <w:rFonts w:ascii="David" w:eastAsia="Calibri" w:hAnsi="David" w:hint="cs"/>
          <w:noProof w:val="0"/>
          <w:rtl/>
        </w:rPr>
        <w:t xml:space="preserve">מכח </w:t>
      </w:r>
      <w:r w:rsidR="00D82052" w:rsidRPr="007265C0">
        <w:rPr>
          <w:rFonts w:ascii="David" w:eastAsia="Calibri" w:hAnsi="David"/>
          <w:noProof w:val="0"/>
          <w:rtl/>
        </w:rPr>
        <w:t>הורא</w:t>
      </w:r>
      <w:r w:rsidR="00D82052" w:rsidRPr="007265C0">
        <w:rPr>
          <w:rFonts w:ascii="David" w:eastAsia="Calibri" w:hAnsi="David" w:hint="cs"/>
          <w:noProof w:val="0"/>
          <w:rtl/>
        </w:rPr>
        <w:t>ה</w:t>
      </w:r>
      <w:r w:rsidR="00F53C8C" w:rsidRPr="00F53C8C">
        <w:rPr>
          <w:rFonts w:ascii="David" w:eastAsia="Calibri" w:hAnsi="David"/>
          <w:noProof w:val="0"/>
          <w:rtl/>
        </w:rPr>
        <w:t xml:space="preserve"> שנכנסה לתוקף רק בשנת 2019</w:t>
      </w:r>
      <w:r w:rsidR="00D82052" w:rsidRPr="007265C0">
        <w:rPr>
          <w:rFonts w:ascii="David" w:eastAsia="Calibri" w:hAnsi="David" w:hint="cs"/>
          <w:noProof w:val="0"/>
          <w:rtl/>
        </w:rPr>
        <w:t>,</w:t>
      </w:r>
      <w:r w:rsidR="00F53C8C" w:rsidRPr="00F53C8C">
        <w:rPr>
          <w:rFonts w:ascii="David" w:eastAsia="Calibri" w:hAnsi="David"/>
          <w:noProof w:val="0"/>
          <w:rtl/>
        </w:rPr>
        <w:t xml:space="preserve"> במסגרת תיקון 87 לחוק סדר הדין הפלילי [נוסח משולב], התשמ"ד-1982 (להלן: </w:t>
      </w:r>
      <w:r w:rsidR="00F53C8C" w:rsidRPr="00F53C8C">
        <w:rPr>
          <w:rFonts w:ascii="David" w:eastAsia="Calibri" w:hAnsi="David"/>
          <w:b/>
          <w:bCs/>
          <w:noProof w:val="0"/>
          <w:rtl/>
        </w:rPr>
        <w:t>"החסד"פ"</w:t>
      </w:r>
      <w:r w:rsidR="00D82052" w:rsidRPr="007265C0">
        <w:rPr>
          <w:rFonts w:ascii="David" w:eastAsia="Calibri" w:hAnsi="David"/>
          <w:noProof w:val="0"/>
          <w:rtl/>
        </w:rPr>
        <w:t>)</w:t>
      </w:r>
      <w:r w:rsidR="00D82052" w:rsidRPr="007265C0">
        <w:rPr>
          <w:rFonts w:ascii="David" w:eastAsia="Calibri" w:hAnsi="David" w:hint="cs"/>
          <w:noProof w:val="0"/>
          <w:rtl/>
        </w:rPr>
        <w:t>. אולם</w:t>
      </w:r>
      <w:r w:rsidR="00F53C8C" w:rsidRPr="00F53C8C">
        <w:rPr>
          <w:rFonts w:ascii="David" w:eastAsia="Calibri" w:hAnsi="David"/>
          <w:noProof w:val="0"/>
          <w:rtl/>
        </w:rPr>
        <w:t xml:space="preserve"> בענייננו תקפה הוראת ההתיישנות שהייתה קבועה בסעיף 9 לחסד"פ במועד ביצוע העבירה המיוחסת לנאשם, לפיה אין להעמיד אדם לדין בשל עבירת פשע שדינו מיתה או מאסר עולם, אם עברו 20 שנה מיום ביצועה (הוראה זו תכונה להלן: "</w:t>
      </w:r>
      <w:r w:rsidR="00F53C8C" w:rsidRPr="00F53C8C">
        <w:rPr>
          <w:rFonts w:ascii="David" w:eastAsia="Calibri" w:hAnsi="David"/>
          <w:b/>
          <w:bCs/>
          <w:noProof w:val="0"/>
          <w:rtl/>
        </w:rPr>
        <w:t>סעיף 9 לחסד"פ</w:t>
      </w:r>
      <w:r w:rsidR="00F53C8C" w:rsidRPr="00F53C8C">
        <w:rPr>
          <w:rFonts w:ascii="David" w:eastAsia="Calibri" w:hAnsi="David"/>
          <w:noProof w:val="0"/>
          <w:rtl/>
        </w:rPr>
        <w:t>").</w:t>
      </w:r>
    </w:p>
    <w:p w:rsidR="00F53C8C" w:rsidRPr="00F53C8C" w:rsidRDefault="00C6772F" w:rsidP="00447F1A">
      <w:pPr>
        <w:spacing w:after="160" w:line="360" w:lineRule="auto"/>
        <w:jc w:val="both"/>
        <w:rPr>
          <w:rFonts w:ascii="David" w:eastAsia="Calibri" w:hAnsi="David"/>
          <w:noProof w:val="0"/>
          <w:rtl/>
        </w:rPr>
      </w:pPr>
      <w:r w:rsidRPr="007265C0">
        <w:rPr>
          <w:rFonts w:ascii="David" w:eastAsia="Calibri" w:hAnsi="David" w:hint="cs"/>
          <w:noProof w:val="0"/>
          <w:rtl/>
        </w:rPr>
        <w:t>6.</w:t>
      </w:r>
      <w:r w:rsidRPr="007265C0">
        <w:rPr>
          <w:rFonts w:ascii="David" w:eastAsia="Calibri" w:hAnsi="David" w:hint="cs"/>
          <w:noProof w:val="0"/>
          <w:rtl/>
        </w:rPr>
        <w:tab/>
      </w:r>
      <w:r w:rsidR="00F53C8C" w:rsidRPr="00F53C8C">
        <w:rPr>
          <w:rFonts w:ascii="David" w:eastAsia="Calibri" w:hAnsi="David"/>
          <w:noProof w:val="0"/>
          <w:rtl/>
        </w:rPr>
        <w:t>המאשימה לא חלקה על כך שהוראת ההתיישנות הקבועה כיום בחסד"פ אינה רלוונטית בשל העדר תחולה רטרוספקטיבית להוראה זו, והוראת ההתיישנות הרלוונטית היא זו שהייתה קבועה בסעיף 9 לחסד"פ. המאשימה גם הסכימה כי אכן חלפו</w:t>
      </w:r>
      <w:r w:rsidR="00D82052" w:rsidRPr="007265C0">
        <w:rPr>
          <w:rFonts w:ascii="David" w:eastAsia="Calibri" w:hAnsi="David" w:hint="cs"/>
          <w:noProof w:val="0"/>
          <w:rtl/>
        </w:rPr>
        <w:t xml:space="preserve"> למעלה מ-</w:t>
      </w:r>
      <w:r w:rsidR="00F53C8C" w:rsidRPr="00F53C8C">
        <w:rPr>
          <w:rFonts w:ascii="David" w:eastAsia="Calibri" w:hAnsi="David"/>
          <w:noProof w:val="0"/>
          <w:rtl/>
        </w:rPr>
        <w:t xml:space="preserve"> 20 שנה ממועד ביצוע העבירה. טענתה התמקדה בסעיף קטן ג בסעיף 9 לחסד"פ בנוסח שהיה תקף במועד ביצוע העבירה, הקובע:</w:t>
      </w:r>
    </w:p>
    <w:p w:rsidR="00F53C8C" w:rsidRPr="00F53C8C" w:rsidRDefault="00F53C8C" w:rsidP="00B51AA0">
      <w:pPr>
        <w:spacing w:before="72" w:after="160" w:line="360" w:lineRule="auto"/>
        <w:ind w:left="1077" w:right="993"/>
        <w:jc w:val="both"/>
        <w:rPr>
          <w:rFonts w:ascii="David" w:hAnsi="David"/>
          <w:noProof w:val="0"/>
          <w:rtl/>
        </w:rPr>
      </w:pPr>
      <w:r w:rsidRPr="00F53C8C">
        <w:rPr>
          <w:rFonts w:ascii="David" w:hAnsi="David"/>
          <w:b/>
          <w:bCs/>
          <w:noProof w:val="0"/>
          <w:rtl/>
        </w:rPr>
        <w:t>"בפשע או בעוון אשר תוך התקופות האמורות בסעיף קטן (א) נערכה לגביהם חקירה על פי חיקוק או הוגש כתב אישום או התקיים הליך מטעם בית המשפט, יתחיל מניין התקופות מיום ההליך האחרון בחקירה או מיום הגשת כתב האישום או מיום ההליך האחרון מטעם בית המשפט, הכל לפי המאוחר יותר".</w:t>
      </w:r>
    </w:p>
    <w:p w:rsidR="00F53C8C" w:rsidRPr="00F53C8C" w:rsidRDefault="00F1236D" w:rsidP="00447F1A">
      <w:pPr>
        <w:spacing w:after="160" w:line="360" w:lineRule="auto"/>
        <w:jc w:val="both"/>
        <w:rPr>
          <w:rFonts w:ascii="David" w:eastAsia="Calibri" w:hAnsi="David"/>
          <w:noProof w:val="0"/>
          <w:rtl/>
        </w:rPr>
      </w:pPr>
      <w:r w:rsidRPr="007265C0">
        <w:rPr>
          <w:rFonts w:ascii="David" w:eastAsia="Calibri" w:hAnsi="David" w:hint="cs"/>
          <w:noProof w:val="0"/>
          <w:rtl/>
        </w:rPr>
        <w:lastRenderedPageBreak/>
        <w:t>7.</w:t>
      </w:r>
      <w:r w:rsidRPr="007265C0">
        <w:rPr>
          <w:rFonts w:ascii="David" w:eastAsia="Calibri" w:hAnsi="David"/>
          <w:noProof w:val="0"/>
          <w:rtl/>
        </w:rPr>
        <w:tab/>
        <w:t>טענת המאשימה ה</w:t>
      </w:r>
      <w:r w:rsidR="00F53C8C" w:rsidRPr="00F53C8C">
        <w:rPr>
          <w:rFonts w:ascii="David" w:eastAsia="Calibri" w:hAnsi="David"/>
          <w:noProof w:val="0"/>
          <w:rtl/>
        </w:rPr>
        <w:t>יתה כי בתקופה שמאז ביצוע העבירה ועד להגשת כתב האישום, בוצעו מספר פעולות חקירה במועדים שונים, וכל אחת מהן הובילה למניין מחודש של תקופת ההתיישנות, באופן שעד להגשת כתב האישום לא חלפו 20 שנה ממועד ביצוע פעולת החקירה האחרונה. בהקשר זה הצביעה המאשימה על עדויות רבות שנגבו ומסמכים רבים שנאספו בין השנים 1988 ו-1992, פעולת חקירה וגביית עדות שנעש</w:t>
      </w:r>
      <w:r w:rsidRPr="007265C0">
        <w:rPr>
          <w:rFonts w:ascii="David" w:eastAsia="Calibri" w:hAnsi="David" w:hint="cs"/>
          <w:noProof w:val="0"/>
          <w:rtl/>
        </w:rPr>
        <w:t>ו</w:t>
      </w:r>
      <w:r w:rsidR="00F53C8C" w:rsidRPr="00F53C8C">
        <w:rPr>
          <w:rFonts w:ascii="David" w:eastAsia="Calibri" w:hAnsi="David"/>
          <w:noProof w:val="0"/>
          <w:rtl/>
        </w:rPr>
        <w:t xml:space="preserve"> בשנת 1995, ופעולות חקירה שנעשו בשנת 2010 במסגרתן ערכה המשטרה בירור הנוגע לאפשרות לקבל דגימות דנ"א מבני משפחת המנוח, לצורך בדיקות עתידיות</w:t>
      </w:r>
      <w:r w:rsidRPr="007265C0">
        <w:rPr>
          <w:rFonts w:ascii="David" w:eastAsia="Calibri" w:hAnsi="David" w:hint="cs"/>
          <w:noProof w:val="0"/>
          <w:rtl/>
        </w:rPr>
        <w:t>,</w:t>
      </w:r>
      <w:r w:rsidR="00F53C8C" w:rsidRPr="00F53C8C">
        <w:rPr>
          <w:rFonts w:ascii="David" w:eastAsia="Calibri" w:hAnsi="David"/>
          <w:noProof w:val="0"/>
          <w:rtl/>
        </w:rPr>
        <w:t xml:space="preserve"> אם תידרשנה</w:t>
      </w:r>
      <w:r w:rsidRPr="007265C0">
        <w:rPr>
          <w:rFonts w:ascii="David" w:eastAsia="Calibri" w:hAnsi="David" w:hint="cs"/>
          <w:noProof w:val="0"/>
          <w:rtl/>
        </w:rPr>
        <w:t>,</w:t>
      </w:r>
      <w:r w:rsidR="00F53C8C" w:rsidRPr="00F53C8C">
        <w:rPr>
          <w:rFonts w:ascii="David" w:eastAsia="Calibri" w:hAnsi="David"/>
          <w:noProof w:val="0"/>
          <w:rtl/>
        </w:rPr>
        <w:t xml:space="preserve"> במקרה שיאותרו מוצגים הנוגעים לעניין. בהמשך בוצעו פעולות משנת 2017, עד שבשנת 2021 חודשה החקירה והפכה גלויה.    </w:t>
      </w:r>
    </w:p>
    <w:p w:rsidR="00F53C8C" w:rsidRPr="00F53C8C" w:rsidRDefault="00F1236D" w:rsidP="00F1236D">
      <w:pPr>
        <w:spacing w:after="160" w:line="360" w:lineRule="auto"/>
        <w:jc w:val="both"/>
        <w:rPr>
          <w:rFonts w:ascii="David" w:eastAsia="Calibri" w:hAnsi="David"/>
          <w:noProof w:val="0"/>
          <w:rtl/>
        </w:rPr>
      </w:pPr>
      <w:r w:rsidRPr="007265C0">
        <w:rPr>
          <w:rFonts w:ascii="David" w:eastAsia="Calibri" w:hAnsi="David" w:hint="cs"/>
          <w:noProof w:val="0"/>
          <w:rtl/>
        </w:rPr>
        <w:t>8.</w:t>
      </w:r>
      <w:r w:rsidRPr="007265C0">
        <w:rPr>
          <w:rFonts w:ascii="David" w:eastAsia="Calibri" w:hAnsi="David"/>
          <w:noProof w:val="0"/>
          <w:rtl/>
        </w:rPr>
        <w:tab/>
      </w:r>
      <w:r w:rsidR="00F53C8C" w:rsidRPr="00F53C8C">
        <w:rPr>
          <w:rFonts w:ascii="David" w:eastAsia="Calibri" w:hAnsi="David"/>
          <w:noProof w:val="0"/>
          <w:rtl/>
        </w:rPr>
        <w:t xml:space="preserve">מנגד, </w:t>
      </w:r>
      <w:r w:rsidRPr="007265C0">
        <w:rPr>
          <w:rFonts w:ascii="David" w:eastAsia="Calibri" w:hAnsi="David" w:hint="cs"/>
          <w:noProof w:val="0"/>
          <w:rtl/>
        </w:rPr>
        <w:t>ההגנה טענה כי</w:t>
      </w:r>
      <w:r w:rsidR="00F53C8C" w:rsidRPr="00F53C8C">
        <w:rPr>
          <w:rFonts w:ascii="David" w:eastAsia="Calibri" w:hAnsi="David"/>
          <w:noProof w:val="0"/>
          <w:rtl/>
        </w:rPr>
        <w:t xml:space="preserve"> הפעולות עליהן הצביעה המאשימה כפעולות שנעשו בתקופה שמ</w:t>
      </w:r>
      <w:r w:rsidRPr="007265C0">
        <w:rPr>
          <w:rFonts w:ascii="David" w:eastAsia="Calibri" w:hAnsi="David" w:hint="cs"/>
          <w:noProof w:val="0"/>
          <w:rtl/>
        </w:rPr>
        <w:t xml:space="preserve">מועד </w:t>
      </w:r>
      <w:r w:rsidR="00F53C8C" w:rsidRPr="00F53C8C">
        <w:rPr>
          <w:rFonts w:ascii="David" w:eastAsia="Calibri" w:hAnsi="David"/>
          <w:noProof w:val="0"/>
          <w:rtl/>
        </w:rPr>
        <w:t xml:space="preserve">ביצוע העבירה ועד להגשת כתב האישום, אינן פעולות חקירה שיש בהן כדי להפסיק את מרוץ ההתיישנות ולהתחיל את מניינה מחדש.  </w:t>
      </w:r>
    </w:p>
    <w:p w:rsidR="00F53C8C" w:rsidRPr="007265C0" w:rsidRDefault="00F53C8C" w:rsidP="00F1236D">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בסופו של יום, ההגנה </w:t>
      </w:r>
      <w:r w:rsidR="00F1236D" w:rsidRPr="00F53C8C">
        <w:rPr>
          <w:rFonts w:ascii="David" w:eastAsia="Calibri" w:hAnsi="David"/>
          <w:noProof w:val="0"/>
          <w:rtl/>
        </w:rPr>
        <w:t>הסכימה</w:t>
      </w:r>
      <w:r w:rsidR="00F1236D" w:rsidRPr="007265C0">
        <w:rPr>
          <w:rFonts w:ascii="David" w:eastAsia="Calibri" w:hAnsi="David"/>
          <w:noProof w:val="0"/>
          <w:rtl/>
        </w:rPr>
        <w:t xml:space="preserve"> </w:t>
      </w:r>
      <w:r w:rsidRPr="00F53C8C">
        <w:rPr>
          <w:rFonts w:ascii="David" w:eastAsia="Calibri" w:hAnsi="David"/>
          <w:noProof w:val="0"/>
          <w:rtl/>
        </w:rPr>
        <w:t xml:space="preserve">כי הפעולות שנעשו בשנת 1995 הן פעולות חקירה העוצרות את מרוץ ההתיישנות. מדובר בפעולות שבוצעו בעקבות הודעה שהתקבלה ממיכאל שטרית, אחיו של המנוח, אשר סיפר כי בהיותו במעצר עם אדם בשם אריה גור אריה הוא שוחח עמו על אחיו המנוח, ואריה אמר לו "אני אהרוג אותך כמו שהרגתי את אחיך". לנוכח הסכמת ההגנה, המחלוקת הצטמצמה לשאלה אחת בלבד: האם הפעולות שביצעה המשטרה בשנת 2010 הן פעולות חקירה שיש בהן כדי לעצור את מרוץ ההתיישנות, אם לאו. </w:t>
      </w:r>
    </w:p>
    <w:p w:rsidR="00447F1A" w:rsidRPr="00F53C8C" w:rsidRDefault="00447F1A" w:rsidP="00F1236D">
      <w:pPr>
        <w:spacing w:after="160" w:line="360" w:lineRule="auto"/>
        <w:ind w:firstLine="720"/>
        <w:jc w:val="both"/>
        <w:rPr>
          <w:rFonts w:ascii="David" w:eastAsia="Calibri" w:hAnsi="David"/>
          <w:noProof w:val="0"/>
          <w:rtl/>
        </w:rPr>
      </w:pPr>
    </w:p>
    <w:p w:rsidR="00F53C8C" w:rsidRPr="00F53C8C" w:rsidRDefault="00F53C8C" w:rsidP="00447F1A">
      <w:pPr>
        <w:spacing w:after="160" w:line="360" w:lineRule="auto"/>
        <w:jc w:val="both"/>
        <w:rPr>
          <w:rFonts w:ascii="David" w:eastAsia="Calibri" w:hAnsi="David"/>
          <w:b/>
          <w:bCs/>
          <w:noProof w:val="0"/>
          <w:u w:val="single"/>
          <w:rtl/>
        </w:rPr>
      </w:pPr>
      <w:r w:rsidRPr="00F53C8C">
        <w:rPr>
          <w:rFonts w:ascii="David" w:eastAsia="Calibri" w:hAnsi="David"/>
          <w:b/>
          <w:bCs/>
          <w:noProof w:val="0"/>
          <w:u w:val="single"/>
          <w:rtl/>
        </w:rPr>
        <w:t>מה הן פעולות החקירה שבמחלוקת?</w:t>
      </w:r>
    </w:p>
    <w:p w:rsidR="00F53C8C" w:rsidRPr="00F53C8C" w:rsidRDefault="00447F1A" w:rsidP="00447F1A">
      <w:pPr>
        <w:spacing w:after="160" w:line="360" w:lineRule="auto"/>
        <w:jc w:val="both"/>
        <w:rPr>
          <w:rFonts w:ascii="David" w:eastAsia="Calibri" w:hAnsi="David"/>
          <w:noProof w:val="0"/>
          <w:rtl/>
        </w:rPr>
      </w:pPr>
      <w:r w:rsidRPr="007265C0">
        <w:rPr>
          <w:rFonts w:ascii="David" w:eastAsia="Calibri" w:hAnsi="David" w:hint="cs"/>
          <w:noProof w:val="0"/>
          <w:rtl/>
        </w:rPr>
        <w:t>9.</w:t>
      </w:r>
      <w:r w:rsidRPr="007265C0">
        <w:rPr>
          <w:rFonts w:ascii="David" w:eastAsia="Calibri" w:hAnsi="David" w:hint="cs"/>
          <w:noProof w:val="0"/>
          <w:rtl/>
        </w:rPr>
        <w:tab/>
      </w:r>
      <w:r w:rsidR="00F53C8C" w:rsidRPr="00F53C8C">
        <w:rPr>
          <w:rFonts w:ascii="David" w:eastAsia="Calibri" w:hAnsi="David"/>
          <w:noProof w:val="0"/>
          <w:rtl/>
        </w:rPr>
        <w:t>בשנת 2009 הנחה ראש אח"מ אז, יואב סגלוביץ, את ראש חוליית נעדרים, להכין פקודת מבצע להצלבת נתוני נעדרים ונתוני אלמונים</w:t>
      </w:r>
      <w:r w:rsidRPr="007265C0">
        <w:rPr>
          <w:rFonts w:ascii="David" w:eastAsia="Calibri" w:hAnsi="David" w:hint="cs"/>
          <w:noProof w:val="0"/>
          <w:rtl/>
        </w:rPr>
        <w:t>, במטרה</w:t>
      </w:r>
      <w:r w:rsidR="00F53C8C" w:rsidRPr="00F53C8C">
        <w:rPr>
          <w:rFonts w:ascii="David" w:eastAsia="Calibri" w:hAnsi="David"/>
          <w:noProof w:val="0"/>
          <w:rtl/>
        </w:rPr>
        <w:t xml:space="preserve"> לאכן נעדרים ולזהות אלמונים. בשל חשיבות הנושא, הוטלה האחריות האופרטיבית למבצע על היחידה הארצית למאבק בפשיעה הכלכלית בלה"ב 433. </w:t>
      </w:r>
    </w:p>
    <w:p w:rsidR="00F53C8C" w:rsidRPr="00F53C8C" w:rsidRDefault="00F53C8C" w:rsidP="00447F1A">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על פי הנחיותיו של ראש אח"מ, הכין ראש חולית נעדרים ביולי </w:t>
      </w:r>
      <w:r w:rsidRPr="00F53C8C">
        <w:rPr>
          <w:rFonts w:ascii="David" w:eastAsia="Calibri" w:hAnsi="David"/>
          <w:noProof w:val="0"/>
        </w:rPr>
        <w:t>2009</w:t>
      </w:r>
      <w:r w:rsidRPr="00F53C8C">
        <w:rPr>
          <w:rFonts w:ascii="David" w:eastAsia="Calibri" w:hAnsi="David"/>
          <w:noProof w:val="0"/>
          <w:rtl/>
        </w:rPr>
        <w:t xml:space="preserve"> הצעה לפקודת מבצע, שאחת ממטרותיה היתה </w:t>
      </w:r>
      <w:r w:rsidR="00447F1A" w:rsidRPr="007265C0">
        <w:rPr>
          <w:rFonts w:ascii="David" w:eastAsia="Calibri" w:hAnsi="David" w:hint="cs"/>
          <w:noProof w:val="0"/>
          <w:rtl/>
        </w:rPr>
        <w:t>נטילת</w:t>
      </w:r>
      <w:r w:rsidRPr="00F53C8C">
        <w:rPr>
          <w:rFonts w:ascii="David" w:eastAsia="Calibri" w:hAnsi="David"/>
          <w:noProof w:val="0"/>
          <w:rtl/>
        </w:rPr>
        <w:t xml:space="preserve"> דגי</w:t>
      </w:r>
      <w:r w:rsidR="00447F1A" w:rsidRPr="007265C0">
        <w:rPr>
          <w:rFonts w:ascii="David" w:eastAsia="Calibri" w:hAnsi="David"/>
          <w:noProof w:val="0"/>
          <w:rtl/>
        </w:rPr>
        <w:t>מות דנ"א מקרובי משפחה של נעדרים</w:t>
      </w:r>
      <w:r w:rsidRPr="00F53C8C">
        <w:rPr>
          <w:rFonts w:ascii="David" w:eastAsia="Calibri" w:hAnsi="David"/>
          <w:noProof w:val="0"/>
          <w:rtl/>
        </w:rPr>
        <w:t xml:space="preserve"> שטרם נלקחו מהם דגימות</w:t>
      </w:r>
      <w:r w:rsidR="00447F1A" w:rsidRPr="007265C0">
        <w:rPr>
          <w:rFonts w:ascii="David" w:eastAsia="Calibri" w:hAnsi="David" w:hint="cs"/>
          <w:noProof w:val="0"/>
          <w:rtl/>
        </w:rPr>
        <w:t>,</w:t>
      </w:r>
      <w:r w:rsidRPr="00F53C8C">
        <w:rPr>
          <w:rFonts w:ascii="David" w:eastAsia="Calibri" w:hAnsi="David"/>
          <w:noProof w:val="0"/>
          <w:rtl/>
        </w:rPr>
        <w:t xml:space="preserve"> והכללתן במאגר ממוחשב, וכן איסוף כל אמצעי זיהוי נוסף שניתן למצוא בנוגע לכל נעדר ונעדר. בסיום המבצע, יוצלבו נתוני הזיהוי שנאספו בנוגע לנעדרים מנתונים האלמונים הרשומים במכון לרפואה משפטית, כדי לאכן נעדרים ולזהות אלמונים (ר</w:t>
      </w:r>
      <w:r w:rsidR="006B5592" w:rsidRPr="007265C0">
        <w:rPr>
          <w:rFonts w:ascii="David" w:eastAsia="Calibri" w:hAnsi="David"/>
          <w:noProof w:val="0"/>
          <w:rtl/>
        </w:rPr>
        <w:t>או: דו"ח מבקר המדינה, דו"ח 60ב'</w:t>
      </w:r>
      <w:r w:rsidRPr="00F53C8C">
        <w:rPr>
          <w:rFonts w:ascii="David" w:eastAsia="Calibri" w:hAnsi="David"/>
          <w:noProof w:val="0"/>
          <w:rtl/>
        </w:rPr>
        <w:t xml:space="preserve"> שפורסם במאי 2010, בעמוד 318). </w:t>
      </w:r>
    </w:p>
    <w:p w:rsidR="00F53C8C" w:rsidRPr="00F53C8C" w:rsidRDefault="006B5592" w:rsidP="00F53C8C">
      <w:pPr>
        <w:spacing w:after="160" w:line="360" w:lineRule="auto"/>
        <w:jc w:val="both"/>
        <w:rPr>
          <w:rFonts w:ascii="David" w:eastAsia="Calibri" w:hAnsi="David"/>
          <w:noProof w:val="0"/>
          <w:rtl/>
        </w:rPr>
      </w:pPr>
      <w:r w:rsidRPr="007265C0">
        <w:rPr>
          <w:rFonts w:ascii="David" w:eastAsia="Calibri" w:hAnsi="David" w:hint="cs"/>
          <w:noProof w:val="0"/>
          <w:rtl/>
        </w:rPr>
        <w:lastRenderedPageBreak/>
        <w:t>10.</w:t>
      </w:r>
      <w:r w:rsidRPr="007265C0">
        <w:rPr>
          <w:rFonts w:ascii="David" w:eastAsia="Calibri" w:hAnsi="David" w:hint="cs"/>
          <w:noProof w:val="0"/>
          <w:rtl/>
        </w:rPr>
        <w:tab/>
      </w:r>
      <w:r w:rsidR="00F53C8C" w:rsidRPr="00F53C8C">
        <w:rPr>
          <w:rFonts w:ascii="David" w:eastAsia="Calibri" w:hAnsi="David"/>
          <w:noProof w:val="0"/>
          <w:rtl/>
        </w:rPr>
        <w:t>במסגרת פעילות זו, ביום 3.10.2010 ציינה השוטרת שרון שוקרון ממחלק מרמה שביחידה למאבק בפשיעה הכלכלית כי לנעדר ניסים שטרית (המופיע כנעדר 181 בטבלת הנעדרים) ישנם ששה אנשים אשר יכולים להידגם, והיא פ</w:t>
      </w:r>
      <w:r w:rsidR="00716287" w:rsidRPr="007265C0">
        <w:rPr>
          <w:rFonts w:ascii="David" w:eastAsia="Calibri" w:hAnsi="David" w:hint="cs"/>
          <w:noProof w:val="0"/>
          <w:rtl/>
        </w:rPr>
        <w:t>י</w:t>
      </w:r>
      <w:r w:rsidR="00F53C8C" w:rsidRPr="00F53C8C">
        <w:rPr>
          <w:rFonts w:ascii="David" w:eastAsia="Calibri" w:hAnsi="David"/>
          <w:noProof w:val="0"/>
          <w:rtl/>
        </w:rPr>
        <w:t>רטה את מספר הטלפון של אנשי הקשר.</w:t>
      </w:r>
    </w:p>
    <w:p w:rsidR="00F53C8C" w:rsidRPr="00F53C8C" w:rsidRDefault="00F53C8C" w:rsidP="00716287">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בהמשך לכך, ביום 9.11.2010 שלח מפקח שגיא קדמון הודעת דואר אלקטרוני לראש מחלק פשיעה סער יאל"כ, בו הוא מעדכן אותו כי </w:t>
      </w:r>
      <w:r w:rsidR="00716287" w:rsidRPr="007265C0">
        <w:rPr>
          <w:rFonts w:ascii="David" w:eastAsia="Calibri" w:hAnsi="David" w:hint="cs"/>
          <w:noProof w:val="0"/>
          <w:rtl/>
        </w:rPr>
        <w:t xml:space="preserve">שוחח </w:t>
      </w:r>
      <w:r w:rsidRPr="00F53C8C">
        <w:rPr>
          <w:rFonts w:ascii="David" w:eastAsia="Calibri" w:hAnsi="David"/>
          <w:noProof w:val="0"/>
          <w:rtl/>
        </w:rPr>
        <w:t>באותו יום עם יצחק שטרית אחיו של הנעדר ניסים שטרית</w:t>
      </w:r>
      <w:r w:rsidR="00716287" w:rsidRPr="007265C0">
        <w:rPr>
          <w:rFonts w:ascii="David" w:eastAsia="Calibri" w:hAnsi="David" w:hint="cs"/>
          <w:noProof w:val="0"/>
          <w:rtl/>
        </w:rPr>
        <w:t>,</w:t>
      </w:r>
      <w:r w:rsidRPr="00F53C8C">
        <w:rPr>
          <w:rFonts w:ascii="David" w:eastAsia="Calibri" w:hAnsi="David"/>
          <w:noProof w:val="0"/>
          <w:rtl/>
        </w:rPr>
        <w:t xml:space="preserve"> וזה ציין בפניו כי נדגם בעבר לצורך בדיקת דנ"א. יצחק גם מסר לו את מספרי הטלפון של אמו ושל שאר אחיו, וניסיונות ליצור קשר עם יתר האחים לא צלחו. אמו של ניסים ביקשה להתייעץ בעניין עם בנה דוד. </w:t>
      </w:r>
    </w:p>
    <w:p w:rsidR="00F53C8C" w:rsidRPr="00F53C8C" w:rsidRDefault="00F53C8C" w:rsidP="00716287">
      <w:pPr>
        <w:spacing w:after="160" w:line="360" w:lineRule="auto"/>
        <w:ind w:firstLine="720"/>
        <w:jc w:val="both"/>
        <w:rPr>
          <w:rFonts w:ascii="David" w:eastAsia="Calibri" w:hAnsi="David"/>
          <w:noProof w:val="0"/>
          <w:rtl/>
        </w:rPr>
      </w:pPr>
      <w:r w:rsidRPr="00F53C8C">
        <w:rPr>
          <w:rFonts w:ascii="David" w:eastAsia="Calibri" w:hAnsi="David"/>
          <w:noProof w:val="0"/>
          <w:rtl/>
        </w:rPr>
        <w:t>בהודעת דואר אלקטרוני נוספת מיום 11.11.2010 עדכן שגיא קדמון כי טרם קיבל תשובה מאמו של ניסים שטרית, בהודעה מיום 15.11.2010 הודיע כי לא הצליח ליצור קשר עם האם, ובהודעת דואר אלקטרוני מיום 16.11.2010 הוא מציין כי שוחח עם אמו של ניסים וזו ציינה בפניו כי היא ומשפחתה אינם מעוניינים למסור דגימה. לדבריה, ברבות השנים הם אינם מאמינים כי ימצאו את בנה או את גופתו והדבר אך מעורר בהם זיכרונות.</w:t>
      </w:r>
    </w:p>
    <w:p w:rsidR="00F53C8C" w:rsidRPr="007265C0" w:rsidRDefault="00F53C8C" w:rsidP="00716287">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בכך הסתיימו הפעולות הקשורות להיעלמות המנוח שנעשו בשנת 2010.  </w:t>
      </w:r>
    </w:p>
    <w:p w:rsidR="00A271BB" w:rsidRPr="007265C0" w:rsidRDefault="00A271BB" w:rsidP="00716287">
      <w:pPr>
        <w:spacing w:after="160" w:line="360" w:lineRule="auto"/>
        <w:ind w:firstLine="720"/>
        <w:jc w:val="both"/>
        <w:rPr>
          <w:rFonts w:ascii="David" w:eastAsia="Calibri" w:hAnsi="David"/>
          <w:noProof w:val="0"/>
          <w:rtl/>
        </w:rPr>
      </w:pPr>
    </w:p>
    <w:p w:rsidR="00A271BB" w:rsidRPr="00F53C8C" w:rsidRDefault="00422DEC" w:rsidP="00A271BB">
      <w:pPr>
        <w:spacing w:after="160" w:line="360" w:lineRule="auto"/>
        <w:jc w:val="both"/>
        <w:rPr>
          <w:rFonts w:ascii="David" w:eastAsia="David" w:hAnsi="David"/>
          <w:b/>
          <w:bCs/>
          <w:noProof w:val="0"/>
          <w:u w:val="single"/>
          <w:rtl/>
        </w:rPr>
      </w:pPr>
      <w:r w:rsidRPr="007265C0">
        <w:rPr>
          <w:rFonts w:ascii="David" w:eastAsia="David" w:hAnsi="David" w:hint="cs"/>
          <w:b/>
          <w:bCs/>
          <w:noProof w:val="0"/>
          <w:u w:val="single"/>
          <w:rtl/>
        </w:rPr>
        <w:t>חקירה "על פי חיקוק"</w:t>
      </w:r>
    </w:p>
    <w:p w:rsidR="00A271BB" w:rsidRPr="007265C0" w:rsidRDefault="00A271BB" w:rsidP="00A271BB">
      <w:pPr>
        <w:spacing w:after="160" w:line="360" w:lineRule="auto"/>
        <w:jc w:val="both"/>
        <w:rPr>
          <w:rFonts w:ascii="David" w:eastAsia="Calibri" w:hAnsi="David"/>
          <w:noProof w:val="0"/>
          <w:rtl/>
        </w:rPr>
      </w:pPr>
      <w:r w:rsidRPr="007265C0">
        <w:rPr>
          <w:rFonts w:ascii="David" w:eastAsia="David" w:hAnsi="David" w:hint="cs"/>
          <w:noProof w:val="0"/>
          <w:rtl/>
        </w:rPr>
        <w:t>11.</w:t>
      </w:r>
      <w:r w:rsidRPr="007265C0">
        <w:rPr>
          <w:rFonts w:ascii="David" w:eastAsia="David" w:hAnsi="David" w:hint="cs"/>
          <w:noProof w:val="0"/>
          <w:rtl/>
        </w:rPr>
        <w:tab/>
      </w:r>
      <w:r w:rsidRPr="00F53C8C">
        <w:rPr>
          <w:rFonts w:ascii="David" w:eastAsia="Calibri" w:hAnsi="David"/>
          <w:noProof w:val="0"/>
          <w:rtl/>
        </w:rPr>
        <w:t xml:space="preserve">כאמור, סעיף 9 לחסד"פ, בנוסח שהיה בתוקף בתקופה הרלוונטית, קובע כי תקופת התיישנות העבירה תחל להימנות מחדש אם </w:t>
      </w:r>
      <w:r w:rsidRPr="00F53C8C">
        <w:rPr>
          <w:rFonts w:ascii="David" w:eastAsia="Calibri" w:hAnsi="David"/>
          <w:b/>
          <w:bCs/>
          <w:noProof w:val="0"/>
          <w:rtl/>
        </w:rPr>
        <w:t>"נערכה לגביהם חקירה על פי חיקוק או הוגש כתב אישום או התקיים הליך מטעם בית המשפט"</w:t>
      </w:r>
      <w:r w:rsidRPr="00F53C8C">
        <w:rPr>
          <w:rFonts w:ascii="David" w:eastAsia="Calibri" w:hAnsi="David"/>
          <w:noProof w:val="0"/>
          <w:rtl/>
        </w:rPr>
        <w:t>.</w:t>
      </w:r>
      <w:r w:rsidRPr="007265C0">
        <w:rPr>
          <w:rFonts w:ascii="David" w:eastAsia="Calibri" w:hAnsi="David" w:hint="cs"/>
          <w:noProof w:val="0"/>
          <w:rtl/>
        </w:rPr>
        <w:t xml:space="preserve"> </w:t>
      </w:r>
    </w:p>
    <w:p w:rsidR="00A271BB" w:rsidRPr="00F53C8C" w:rsidRDefault="00A271BB" w:rsidP="00A271BB">
      <w:pPr>
        <w:spacing w:after="160" w:line="360" w:lineRule="auto"/>
        <w:jc w:val="both"/>
        <w:rPr>
          <w:rFonts w:ascii="David" w:eastAsia="Calibri" w:hAnsi="David"/>
          <w:noProof w:val="0"/>
          <w:rtl/>
        </w:rPr>
      </w:pPr>
      <w:r w:rsidRPr="007265C0">
        <w:rPr>
          <w:rFonts w:ascii="David" w:eastAsia="Calibri" w:hAnsi="David"/>
          <w:noProof w:val="0"/>
          <w:rtl/>
        </w:rPr>
        <w:tab/>
      </w:r>
      <w:r w:rsidRPr="007265C0">
        <w:rPr>
          <w:rFonts w:ascii="David" w:eastAsia="Calibri" w:hAnsi="David" w:hint="cs"/>
          <w:noProof w:val="0"/>
          <w:rtl/>
        </w:rPr>
        <w:t xml:space="preserve">החיקוק הרלוונטי לעניינו הוא </w:t>
      </w:r>
      <w:r w:rsidRPr="00F53C8C">
        <w:rPr>
          <w:rFonts w:ascii="David" w:eastAsia="Calibri" w:hAnsi="David"/>
          <w:noProof w:val="0"/>
          <w:rtl/>
        </w:rPr>
        <w:t xml:space="preserve">סעיף 3 לפקודת המשטרה [נוסח חדש] תשל"א-1971 </w:t>
      </w:r>
      <w:r w:rsidRPr="007265C0">
        <w:rPr>
          <w:rFonts w:ascii="David" w:eastAsia="Calibri" w:hAnsi="David" w:hint="cs"/>
          <w:noProof w:val="0"/>
          <w:rtl/>
        </w:rPr>
        <w:t>ה</w:t>
      </w:r>
      <w:r w:rsidRPr="00F53C8C">
        <w:rPr>
          <w:rFonts w:ascii="David" w:eastAsia="Calibri" w:hAnsi="David"/>
          <w:noProof w:val="0"/>
          <w:rtl/>
        </w:rPr>
        <w:t>קובע את תפקידי המשטרה:</w:t>
      </w:r>
    </w:p>
    <w:p w:rsidR="00A271BB" w:rsidRPr="00F53C8C" w:rsidRDefault="00A271BB" w:rsidP="00A271BB">
      <w:pPr>
        <w:spacing w:after="160" w:line="360" w:lineRule="auto"/>
        <w:ind w:left="794" w:right="993"/>
        <w:jc w:val="both"/>
        <w:rPr>
          <w:rFonts w:ascii="David" w:eastAsia="Calibri" w:hAnsi="David"/>
          <w:b/>
          <w:bCs/>
          <w:noProof w:val="0"/>
          <w:rtl/>
        </w:rPr>
      </w:pPr>
      <w:r w:rsidRPr="00F53C8C">
        <w:rPr>
          <w:rFonts w:ascii="David" w:eastAsia="Calibri" w:hAnsi="David"/>
          <w:b/>
          <w:bCs/>
          <w:noProof w:val="0"/>
          <w:rtl/>
        </w:rPr>
        <w:t>"משטרת ישראל תעסוק במניעת עבירות ובגילוין, בתפיסת עבריינים ובתביעתם לדין, בשמירתם הבטוחה של אסירים, ובקיום הסדר הציבורי ובטחון הנפש והרכוש".</w:t>
      </w:r>
    </w:p>
    <w:p w:rsidR="00A271BB" w:rsidRPr="00F53C8C" w:rsidRDefault="00A271BB" w:rsidP="00A271BB">
      <w:pPr>
        <w:spacing w:after="160" w:line="360" w:lineRule="auto"/>
        <w:jc w:val="both"/>
        <w:rPr>
          <w:rFonts w:ascii="David" w:eastAsia="Calibri" w:hAnsi="David"/>
          <w:noProof w:val="0"/>
          <w:rtl/>
        </w:rPr>
      </w:pPr>
      <w:r w:rsidRPr="007265C0">
        <w:rPr>
          <w:rFonts w:ascii="David" w:eastAsia="Calibri" w:hAnsi="David" w:hint="cs"/>
          <w:noProof w:val="0"/>
          <w:rtl/>
        </w:rPr>
        <w:t>12.</w:t>
      </w:r>
      <w:r w:rsidRPr="007265C0">
        <w:rPr>
          <w:rFonts w:ascii="David" w:eastAsia="Calibri" w:hAnsi="David" w:hint="cs"/>
          <w:noProof w:val="0"/>
          <w:rtl/>
        </w:rPr>
        <w:tab/>
        <w:t>אנו סבורים</w:t>
      </w:r>
      <w:r w:rsidRPr="00F53C8C">
        <w:rPr>
          <w:rFonts w:ascii="David" w:eastAsia="Calibri" w:hAnsi="David"/>
          <w:noProof w:val="0"/>
          <w:rtl/>
        </w:rPr>
        <w:t xml:space="preserve"> </w:t>
      </w:r>
      <w:r w:rsidRPr="007265C0">
        <w:rPr>
          <w:rFonts w:ascii="David" w:eastAsia="Calibri" w:hAnsi="David" w:hint="cs"/>
          <w:noProof w:val="0"/>
          <w:rtl/>
        </w:rPr>
        <w:t xml:space="preserve">כעמדת ההגנה, </w:t>
      </w:r>
      <w:r w:rsidRPr="00F53C8C">
        <w:rPr>
          <w:rFonts w:ascii="David" w:eastAsia="Calibri" w:hAnsi="David"/>
          <w:noProof w:val="0"/>
          <w:rtl/>
        </w:rPr>
        <w:t>כי הפעולות שבוצעו על ידי המשטרה בשנת 2010 לצורך נטילת דגימות</w:t>
      </w:r>
      <w:r w:rsidRPr="00F53C8C">
        <w:rPr>
          <w:rFonts w:ascii="David" w:eastAsia="Calibri" w:hAnsi="David"/>
          <w:noProof w:val="0"/>
        </w:rPr>
        <w:t xml:space="preserve"> </w:t>
      </w:r>
      <w:r w:rsidRPr="00F53C8C">
        <w:rPr>
          <w:rFonts w:ascii="David" w:eastAsia="Calibri" w:hAnsi="David"/>
          <w:noProof w:val="0"/>
          <w:rtl/>
        </w:rPr>
        <w:t>דנ"א</w:t>
      </w:r>
      <w:r w:rsidRPr="00F53C8C">
        <w:rPr>
          <w:rFonts w:ascii="David" w:eastAsia="Calibri" w:hAnsi="David"/>
          <w:noProof w:val="0"/>
        </w:rPr>
        <w:t xml:space="preserve"> </w:t>
      </w:r>
      <w:r w:rsidRPr="00F53C8C">
        <w:rPr>
          <w:rFonts w:ascii="David" w:eastAsia="Calibri" w:hAnsi="David"/>
          <w:noProof w:val="0"/>
          <w:rtl/>
        </w:rPr>
        <w:t>מקרובי המנוח</w:t>
      </w:r>
      <w:r w:rsidRPr="007265C0">
        <w:rPr>
          <w:rFonts w:ascii="David" w:eastAsia="Calibri" w:hAnsi="David" w:hint="cs"/>
          <w:noProof w:val="0"/>
          <w:rtl/>
        </w:rPr>
        <w:t>,</w:t>
      </w:r>
      <w:r w:rsidRPr="00F53C8C">
        <w:rPr>
          <w:rFonts w:ascii="David" w:eastAsia="Calibri" w:hAnsi="David"/>
          <w:noProof w:val="0"/>
          <w:rtl/>
        </w:rPr>
        <w:t xml:space="preserve"> אינן בגדר פעולות שמטרתן מניעת עבירות וגילויין, תפיסת עבריינים והעמדתם לדין, אלא נועדו לקדם מטרה של איתור נעדרים וזיהוי אלמונים. </w:t>
      </w:r>
    </w:p>
    <w:p w:rsidR="00A271BB" w:rsidRPr="007265C0" w:rsidRDefault="00A271BB" w:rsidP="00A271BB">
      <w:pPr>
        <w:spacing w:after="160" w:line="360" w:lineRule="auto"/>
        <w:ind w:firstLine="720"/>
        <w:jc w:val="both"/>
        <w:rPr>
          <w:rFonts w:ascii="David" w:eastAsia="Calibri" w:hAnsi="David"/>
          <w:noProof w:val="0"/>
          <w:rtl/>
        </w:rPr>
      </w:pPr>
      <w:r w:rsidRPr="00F53C8C">
        <w:rPr>
          <w:rFonts w:ascii="David" w:eastAsia="Calibri" w:hAnsi="David"/>
          <w:noProof w:val="0"/>
          <w:rtl/>
        </w:rPr>
        <w:t>בעניין זה נאמר בפסק הדין בבג"ץ 8236/19 </w:t>
      </w:r>
      <w:r w:rsidRPr="00F53C8C">
        <w:rPr>
          <w:rFonts w:ascii="David" w:eastAsia="Calibri" w:hAnsi="David"/>
          <w:b/>
          <w:bCs/>
          <w:noProof w:val="0"/>
          <w:rtl/>
        </w:rPr>
        <w:t>גבאי נ'</w:t>
      </w:r>
      <w:r w:rsidRPr="00F53C8C">
        <w:rPr>
          <w:rFonts w:ascii="David" w:eastAsia="Calibri" w:hAnsi="David"/>
          <w:b/>
          <w:bCs/>
          <w:noProof w:val="0"/>
        </w:rPr>
        <w:t> </w:t>
      </w:r>
      <w:r w:rsidRPr="00F53C8C">
        <w:rPr>
          <w:rFonts w:ascii="David" w:eastAsia="Calibri" w:hAnsi="David"/>
          <w:b/>
          <w:bCs/>
          <w:noProof w:val="0"/>
          <w:rtl/>
        </w:rPr>
        <w:t xml:space="preserve">היועץ המשפטי לממשלה </w:t>
      </w:r>
      <w:r w:rsidRPr="00F53C8C">
        <w:rPr>
          <w:rFonts w:ascii="David" w:eastAsia="Calibri" w:hAnsi="David"/>
          <w:noProof w:val="0"/>
          <w:rtl/>
        </w:rPr>
        <w:t xml:space="preserve">(31.05.2020), כי </w:t>
      </w:r>
    </w:p>
    <w:p w:rsidR="00A271BB" w:rsidRPr="00F53C8C" w:rsidRDefault="00A271BB" w:rsidP="00A271BB">
      <w:pPr>
        <w:spacing w:after="160" w:line="360" w:lineRule="auto"/>
        <w:ind w:left="1077" w:right="993"/>
        <w:jc w:val="both"/>
        <w:rPr>
          <w:rFonts w:ascii="David" w:eastAsia="Calibri" w:hAnsi="David"/>
          <w:noProof w:val="0"/>
          <w:rtl/>
        </w:rPr>
      </w:pPr>
      <w:r w:rsidRPr="00F53C8C">
        <w:rPr>
          <w:rFonts w:ascii="David" w:eastAsia="Calibri" w:hAnsi="David"/>
          <w:noProof w:val="0"/>
          <w:rtl/>
        </w:rPr>
        <w:lastRenderedPageBreak/>
        <w:t>"</w:t>
      </w:r>
      <w:r w:rsidRPr="00F53C8C">
        <w:rPr>
          <w:rFonts w:ascii="David" w:eastAsia="Calibri" w:hAnsi="David"/>
          <w:b/>
          <w:bCs/>
          <w:noProof w:val="0"/>
          <w:rtl/>
        </w:rPr>
        <w:t xml:space="preserve">הגם שסוגיית איתור נעדרים איננה קבועה עלי חוק או פקודה, המשיבים אינם חולקים על כך שהיא נופלת בגדר תפקידיה של המשטרה, ומבהירים כי תפקיד זה נגזר מחובתה של המשטרה לשמור על שלום הציבור ומסמכותה לנקוט בפעולות שונות להצלת חיי אדם" </w:t>
      </w:r>
      <w:r w:rsidRPr="00F53C8C">
        <w:rPr>
          <w:rFonts w:ascii="David" w:eastAsia="Calibri" w:hAnsi="David"/>
          <w:noProof w:val="0"/>
          <w:rtl/>
        </w:rPr>
        <w:t>(שם, פסקה 5).</w:t>
      </w:r>
      <w:r w:rsidRPr="00F53C8C">
        <w:rPr>
          <w:rFonts w:ascii="David" w:eastAsia="Calibri" w:hAnsi="David"/>
          <w:b/>
          <w:bCs/>
          <w:noProof w:val="0"/>
          <w:rtl/>
        </w:rPr>
        <w:t xml:space="preserve"> </w:t>
      </w:r>
    </w:p>
    <w:p w:rsidR="00716287" w:rsidRPr="007265C0" w:rsidRDefault="00716287" w:rsidP="00716287">
      <w:pPr>
        <w:spacing w:after="160" w:line="360" w:lineRule="auto"/>
        <w:jc w:val="both"/>
        <w:rPr>
          <w:rFonts w:ascii="David" w:eastAsia="Calibri" w:hAnsi="David"/>
          <w:b/>
          <w:bCs/>
          <w:noProof w:val="0"/>
          <w:u w:val="single"/>
          <w:rtl/>
        </w:rPr>
      </w:pPr>
    </w:p>
    <w:p w:rsidR="00C76B96" w:rsidRPr="007265C0" w:rsidRDefault="00B51AA0" w:rsidP="00716287">
      <w:pPr>
        <w:spacing w:after="160" w:line="360" w:lineRule="auto"/>
        <w:jc w:val="both"/>
        <w:rPr>
          <w:rFonts w:ascii="David" w:eastAsia="Calibri" w:hAnsi="David"/>
          <w:b/>
          <w:bCs/>
          <w:noProof w:val="0"/>
          <w:u w:val="single"/>
          <w:rtl/>
        </w:rPr>
      </w:pPr>
      <w:r w:rsidRPr="007265C0">
        <w:rPr>
          <w:rFonts w:ascii="David" w:eastAsia="Calibri" w:hAnsi="David" w:hint="cs"/>
          <w:b/>
          <w:bCs/>
          <w:noProof w:val="0"/>
          <w:u w:val="single"/>
          <w:rtl/>
        </w:rPr>
        <w:t>אלו פעולות יחשבו כפעולות חקירה?</w:t>
      </w:r>
    </w:p>
    <w:p w:rsidR="00F53C8C" w:rsidRPr="007265C0" w:rsidRDefault="00716287" w:rsidP="0070652B">
      <w:pPr>
        <w:spacing w:after="160" w:line="360" w:lineRule="auto"/>
        <w:jc w:val="both"/>
        <w:rPr>
          <w:rFonts w:ascii="David" w:eastAsia="Calibri" w:hAnsi="David"/>
          <w:noProof w:val="0"/>
          <w:rtl/>
        </w:rPr>
      </w:pPr>
      <w:r w:rsidRPr="007265C0">
        <w:rPr>
          <w:rFonts w:ascii="David" w:eastAsia="Calibri" w:hAnsi="David" w:hint="cs"/>
          <w:noProof w:val="0"/>
          <w:rtl/>
        </w:rPr>
        <w:t>1</w:t>
      </w:r>
      <w:r w:rsidR="0070652B" w:rsidRPr="007265C0">
        <w:rPr>
          <w:rFonts w:ascii="David" w:eastAsia="Calibri" w:hAnsi="David" w:hint="cs"/>
          <w:noProof w:val="0"/>
          <w:rtl/>
        </w:rPr>
        <w:t>3</w:t>
      </w:r>
      <w:r w:rsidRPr="007265C0">
        <w:rPr>
          <w:rFonts w:ascii="David" w:eastAsia="Calibri" w:hAnsi="David" w:hint="cs"/>
          <w:noProof w:val="0"/>
          <w:rtl/>
        </w:rPr>
        <w:t>.</w:t>
      </w:r>
      <w:r w:rsidRPr="007265C0">
        <w:rPr>
          <w:rFonts w:ascii="David" w:eastAsia="Calibri" w:hAnsi="David" w:hint="cs"/>
          <w:noProof w:val="0"/>
          <w:rtl/>
        </w:rPr>
        <w:tab/>
      </w:r>
      <w:r w:rsidR="00F53C8C" w:rsidRPr="00F53C8C">
        <w:rPr>
          <w:rFonts w:ascii="David" w:eastAsia="Calibri" w:hAnsi="David"/>
          <w:noProof w:val="0"/>
          <w:rtl/>
        </w:rPr>
        <w:t xml:space="preserve">המחלוקת בין הצדדים מתמקדת בשאלה האם יש בפעולות אלו שבוצעו לצורך דגימת דנ"א למאגר הנתונים החדש, כדי לעצור את מירוץ ההתיישנות של העבירה. </w:t>
      </w:r>
    </w:p>
    <w:p w:rsidR="00CA2E54" w:rsidRPr="007265C0" w:rsidRDefault="00CA2E54" w:rsidP="00CA2E54">
      <w:pPr>
        <w:spacing w:after="160" w:line="360" w:lineRule="auto"/>
        <w:ind w:firstLine="720"/>
        <w:jc w:val="both"/>
        <w:rPr>
          <w:rFonts w:ascii="David" w:eastAsia="Calibri" w:hAnsi="David"/>
          <w:b/>
          <w:bCs/>
          <w:noProof w:val="0"/>
          <w:rtl/>
        </w:rPr>
      </w:pPr>
      <w:r w:rsidRPr="007265C0">
        <w:rPr>
          <w:rFonts w:ascii="David" w:eastAsia="Calibri" w:hAnsi="David"/>
          <w:noProof w:val="0"/>
          <w:rtl/>
        </w:rPr>
        <w:t xml:space="preserve">הסדר קטיעת רצף ההתיישנות בשל ביצוע 'פעולת חקירה' נועד לאפשר לרשויות אכיפת החוק לעשות את מלאכתן כשהן משוחררות מכבלי מירוץ ההתיישנות בכל תקופת עבודת המשטרה, ובהמשך בכל תקופת ניהול ההליכים בבית המשפט (ראו: בג"ץ 6972/96 </w:t>
      </w:r>
      <w:r w:rsidRPr="007265C0">
        <w:rPr>
          <w:rFonts w:ascii="David" w:eastAsia="Calibri" w:hAnsi="David"/>
          <w:b/>
          <w:bCs/>
          <w:noProof w:val="0"/>
          <w:rtl/>
        </w:rPr>
        <w:t>התנועה למען איכות השלטון נ' היועץ המשפטי לממשלה</w:t>
      </w:r>
      <w:r w:rsidRPr="007265C0">
        <w:rPr>
          <w:rFonts w:ascii="David" w:eastAsia="Calibri" w:hAnsi="David"/>
          <w:noProof w:val="0"/>
          <w:rtl/>
        </w:rPr>
        <w:t xml:space="preserve">, פ"ד נא(2) 757 (1997) (להלן: </w:t>
      </w:r>
      <w:r w:rsidRPr="007265C0">
        <w:rPr>
          <w:rFonts w:ascii="David" w:eastAsia="Calibri" w:hAnsi="David"/>
          <w:b/>
          <w:bCs/>
          <w:noProof w:val="0"/>
          <w:rtl/>
        </w:rPr>
        <w:t>עניין התנועה לאיכות השלטון</w:t>
      </w:r>
      <w:r w:rsidRPr="007265C0">
        <w:rPr>
          <w:rFonts w:ascii="David" w:eastAsia="Calibri" w:hAnsi="David"/>
          <w:noProof w:val="0"/>
          <w:rtl/>
        </w:rPr>
        <w:t xml:space="preserve">). הסדר זה מצדיק את קטיעת רצף ההתיישנות, כך לפי הוראות המחוקק, בכל עת שהמשטרה סבורה כי יש לבחון מחדש את התיק ולבצע בו פעולה נוספת שיש בה כדי </w:t>
      </w:r>
      <w:r w:rsidRPr="007265C0">
        <w:rPr>
          <w:rFonts w:ascii="David" w:eastAsia="Calibri" w:hAnsi="David"/>
          <w:b/>
          <w:bCs/>
          <w:noProof w:val="0"/>
          <w:rtl/>
        </w:rPr>
        <w:t xml:space="preserve">להכין תביעה פלילית העתידה לבוא, להבדיל מ'בירורים מוקדמים' או מ'איסוף מידע' גרידא, שאין בהם משום עשיית פעולת חקירה ממשית </w:t>
      </w:r>
      <w:r w:rsidRPr="007265C0">
        <w:rPr>
          <w:rFonts w:ascii="David" w:eastAsia="Calibri" w:hAnsi="David"/>
          <w:noProof w:val="0"/>
          <w:rtl/>
        </w:rPr>
        <w:t>(</w:t>
      </w:r>
      <w:hyperlink r:id="rId9" w:history="1">
        <w:r w:rsidRPr="007265C0">
          <w:rPr>
            <w:rStyle w:val="Hyperlink"/>
            <w:rFonts w:ascii="David" w:eastAsia="Calibri" w:hAnsi="David"/>
            <w:noProof w:val="0"/>
            <w:color w:val="auto"/>
            <w:u w:val="none"/>
            <w:rtl/>
          </w:rPr>
          <w:t>ע"פ 347/07</w:t>
        </w:r>
      </w:hyperlink>
      <w:r w:rsidRPr="007265C0">
        <w:rPr>
          <w:rFonts w:ascii="David" w:eastAsia="Calibri" w:hAnsi="David"/>
          <w:noProof w:val="0"/>
          <w:rtl/>
        </w:rPr>
        <w:t xml:space="preserve"> </w:t>
      </w:r>
      <w:r w:rsidRPr="007265C0">
        <w:rPr>
          <w:rFonts w:ascii="David" w:eastAsia="Calibri" w:hAnsi="David"/>
          <w:bCs/>
          <w:noProof w:val="0"/>
          <w:rtl/>
        </w:rPr>
        <w:t>פלוני נ' מדינת ישראל</w:t>
      </w:r>
      <w:r w:rsidRPr="007265C0">
        <w:rPr>
          <w:rFonts w:ascii="David" w:eastAsia="Calibri" w:hAnsi="David"/>
          <w:noProof w:val="0"/>
          <w:rtl/>
        </w:rPr>
        <w:t xml:space="preserve"> (18.11.2007) (להלן: </w:t>
      </w:r>
      <w:r w:rsidRPr="007265C0">
        <w:rPr>
          <w:rFonts w:ascii="David" w:eastAsia="Calibri" w:hAnsi="David"/>
          <w:b/>
          <w:bCs/>
          <w:noProof w:val="0"/>
          <w:rtl/>
        </w:rPr>
        <w:t>עניין פלוני</w:t>
      </w:r>
      <w:r w:rsidRPr="007265C0">
        <w:rPr>
          <w:rFonts w:ascii="David" w:eastAsia="Calibri" w:hAnsi="David"/>
          <w:noProof w:val="0"/>
          <w:rtl/>
        </w:rPr>
        <w:t>))</w:t>
      </w:r>
      <w:r w:rsidRPr="007265C0">
        <w:rPr>
          <w:rFonts w:ascii="David" w:eastAsia="Calibri" w:hAnsi="David"/>
          <w:b/>
          <w:bCs/>
          <w:noProof w:val="0"/>
          <w:rtl/>
        </w:rPr>
        <w:t xml:space="preserve">. </w:t>
      </w:r>
      <w:r w:rsidRPr="007265C0">
        <w:rPr>
          <w:rFonts w:ascii="David" w:eastAsia="Calibri" w:hAnsi="David"/>
          <w:noProof w:val="0"/>
          <w:rtl/>
        </w:rPr>
        <w:t xml:space="preserve"> </w:t>
      </w:r>
    </w:p>
    <w:p w:rsidR="00CA2E54" w:rsidRPr="007265C0" w:rsidRDefault="00CA2E54" w:rsidP="00CA2E54">
      <w:pPr>
        <w:spacing w:after="160" w:line="360" w:lineRule="auto"/>
        <w:ind w:firstLine="720"/>
        <w:jc w:val="both"/>
        <w:rPr>
          <w:rFonts w:ascii="David" w:eastAsia="Calibri" w:hAnsi="David"/>
          <w:noProof w:val="0"/>
          <w:rtl/>
        </w:rPr>
      </w:pPr>
      <w:r w:rsidRPr="007265C0">
        <w:rPr>
          <w:rFonts w:ascii="David" w:eastAsia="Calibri" w:hAnsi="David"/>
          <w:noProof w:val="0"/>
          <w:rtl/>
        </w:rPr>
        <w:t>על כן, על מנת שיהא בפעולות שבוצעו בשנת 2010 כדי לעצור את מירוץ ההתיישנות</w:t>
      </w:r>
      <w:r w:rsidR="00B51AA0" w:rsidRPr="007265C0">
        <w:rPr>
          <w:rFonts w:ascii="David" w:eastAsia="Calibri" w:hAnsi="David" w:hint="cs"/>
          <w:noProof w:val="0"/>
          <w:rtl/>
        </w:rPr>
        <w:t>,</w:t>
      </w:r>
      <w:r w:rsidRPr="007265C0">
        <w:rPr>
          <w:rFonts w:ascii="David" w:eastAsia="Calibri" w:hAnsi="David"/>
          <w:noProof w:val="0"/>
          <w:rtl/>
        </w:rPr>
        <w:t xml:space="preserve"> על התביעה להוכיח שבמועד ביצוע בדיקות הדנ"א בשנת 2010 עמד לנגד המשטרה הרצון לפענח את האירוע הפלילי בו נעלמו עקבותיו של המנוח בדרך של דגימת דנ"א מקרוביו.   </w:t>
      </w:r>
    </w:p>
    <w:p w:rsidR="00CA2E54" w:rsidRPr="007265C0" w:rsidRDefault="00CA2E54" w:rsidP="00CA2E54">
      <w:pPr>
        <w:spacing w:after="160" w:line="360" w:lineRule="auto"/>
        <w:ind w:firstLine="720"/>
        <w:jc w:val="both"/>
        <w:rPr>
          <w:rFonts w:ascii="David" w:eastAsia="Calibri" w:hAnsi="David"/>
          <w:noProof w:val="0"/>
          <w:rtl/>
        </w:rPr>
      </w:pPr>
      <w:r w:rsidRPr="007265C0">
        <w:rPr>
          <w:rFonts w:ascii="David" w:eastAsia="Calibri" w:hAnsi="David"/>
          <w:noProof w:val="0"/>
          <w:rtl/>
        </w:rPr>
        <w:t>אנו סבורים כי פעולות אלו אינן בגדר פעולות חקירה, ולפיכך מירוץ ההתיישנות לא הופסק, כפי שנפרט וננמק להלן.</w:t>
      </w:r>
    </w:p>
    <w:p w:rsidR="00B51AA0" w:rsidRPr="007265C0" w:rsidRDefault="00B51AA0" w:rsidP="00B51AA0">
      <w:pPr>
        <w:spacing w:after="160" w:line="360" w:lineRule="auto"/>
        <w:jc w:val="both"/>
        <w:rPr>
          <w:rFonts w:ascii="David" w:eastAsia="Calibri" w:hAnsi="David"/>
          <w:b/>
          <w:bCs/>
          <w:noProof w:val="0"/>
          <w:rtl/>
        </w:rPr>
      </w:pPr>
      <w:r w:rsidRPr="007265C0">
        <w:rPr>
          <w:rFonts w:ascii="David" w:eastAsia="Calibri" w:hAnsi="David" w:hint="cs"/>
          <w:b/>
          <w:bCs/>
          <w:noProof w:val="0"/>
          <w:rtl/>
        </w:rPr>
        <w:t>הרקע המשפטי</w:t>
      </w:r>
    </w:p>
    <w:p w:rsidR="00B51AA0" w:rsidRPr="007265C0" w:rsidRDefault="00B51AA0" w:rsidP="0070652B">
      <w:pPr>
        <w:spacing w:after="160" w:line="360" w:lineRule="auto"/>
        <w:jc w:val="both"/>
        <w:rPr>
          <w:rFonts w:ascii="David" w:eastAsia="Calibri" w:hAnsi="David"/>
          <w:b/>
          <w:bCs/>
          <w:noProof w:val="0"/>
          <w:rtl/>
        </w:rPr>
      </w:pPr>
      <w:r w:rsidRPr="007265C0">
        <w:rPr>
          <w:rFonts w:ascii="David" w:eastAsia="Calibri" w:hAnsi="David" w:hint="cs"/>
          <w:noProof w:val="0"/>
          <w:rtl/>
        </w:rPr>
        <w:t>1</w:t>
      </w:r>
      <w:r w:rsidR="0070652B" w:rsidRPr="007265C0">
        <w:rPr>
          <w:rFonts w:ascii="David" w:eastAsia="Calibri" w:hAnsi="David" w:hint="cs"/>
          <w:noProof w:val="0"/>
          <w:rtl/>
        </w:rPr>
        <w:t>4</w:t>
      </w:r>
      <w:r w:rsidRPr="007265C0">
        <w:rPr>
          <w:rFonts w:ascii="David" w:eastAsia="Calibri" w:hAnsi="David" w:hint="cs"/>
          <w:noProof w:val="0"/>
          <w:rtl/>
        </w:rPr>
        <w:t>.</w:t>
      </w:r>
      <w:r w:rsidRPr="007265C0">
        <w:rPr>
          <w:rFonts w:ascii="David" w:eastAsia="Calibri" w:hAnsi="David" w:hint="cs"/>
          <w:noProof w:val="0"/>
          <w:rtl/>
        </w:rPr>
        <w:tab/>
      </w:r>
      <w:r w:rsidR="00CA2E54" w:rsidRPr="007265C0">
        <w:rPr>
          <w:rFonts w:ascii="David" w:eastAsia="Calibri" w:hAnsi="David"/>
          <w:noProof w:val="0"/>
          <w:rtl/>
        </w:rPr>
        <w:t xml:space="preserve">בע"פ 207/56 </w:t>
      </w:r>
      <w:r w:rsidR="00CA2E54" w:rsidRPr="007265C0">
        <w:rPr>
          <w:rFonts w:ascii="David" w:eastAsia="Calibri" w:hAnsi="David"/>
          <w:b/>
          <w:bCs/>
          <w:noProof w:val="0"/>
          <w:rtl/>
        </w:rPr>
        <w:t>מחמד צויטאת נ' היועץ המשפטי</w:t>
      </w:r>
      <w:r w:rsidR="00CA2E54" w:rsidRPr="007265C0">
        <w:rPr>
          <w:rFonts w:ascii="David" w:eastAsia="Calibri" w:hAnsi="David"/>
          <w:noProof w:val="0"/>
          <w:rtl/>
        </w:rPr>
        <w:t xml:space="preserve">, פ"ד יא 518, 523 (1957) נדונה השאלה מה ייחשב כחקירה המביאה להפסקת מהלך של התיישנות. בית המשפט אימץ הגדרה המבוססת על המשפט הצרפתי, לפיה פעולות חקירה הן </w:t>
      </w:r>
    </w:p>
    <w:p w:rsidR="00CA2E54" w:rsidRPr="007265C0" w:rsidRDefault="00CA2E54" w:rsidP="00B51AA0">
      <w:pPr>
        <w:spacing w:after="160" w:line="360" w:lineRule="auto"/>
        <w:ind w:left="1077" w:right="851"/>
        <w:jc w:val="both"/>
        <w:rPr>
          <w:rFonts w:ascii="David" w:eastAsia="Calibri" w:hAnsi="David"/>
          <w:noProof w:val="0"/>
        </w:rPr>
      </w:pPr>
      <w:r w:rsidRPr="007265C0">
        <w:rPr>
          <w:rFonts w:ascii="David" w:eastAsia="Calibri" w:hAnsi="David"/>
          <w:b/>
          <w:bCs/>
          <w:noProof w:val="0"/>
          <w:rtl/>
        </w:rPr>
        <w:t>״פעולות</w:t>
      </w:r>
      <w:r w:rsidRPr="007265C0">
        <w:rPr>
          <w:rFonts w:ascii="David" w:eastAsia="Calibri" w:hAnsi="David"/>
          <w:b/>
          <w:bCs/>
          <w:noProof w:val="0"/>
        </w:rPr>
        <w:t xml:space="preserve"> </w:t>
      </w:r>
      <w:r w:rsidRPr="007265C0">
        <w:rPr>
          <w:rFonts w:ascii="David" w:eastAsia="Calibri" w:hAnsi="David"/>
          <w:b/>
          <w:bCs/>
          <w:noProof w:val="0"/>
          <w:rtl/>
        </w:rPr>
        <w:t>שמטרתן</w:t>
      </w:r>
      <w:r w:rsidRPr="007265C0">
        <w:rPr>
          <w:rFonts w:ascii="David" w:eastAsia="Calibri" w:hAnsi="David"/>
          <w:b/>
          <w:bCs/>
          <w:noProof w:val="0"/>
        </w:rPr>
        <w:t xml:space="preserve"> </w:t>
      </w:r>
      <w:r w:rsidRPr="007265C0">
        <w:rPr>
          <w:rFonts w:ascii="David" w:eastAsia="Calibri" w:hAnsi="David"/>
          <w:b/>
          <w:bCs/>
          <w:noProof w:val="0"/>
          <w:rtl/>
        </w:rPr>
        <w:t>לבאר</w:t>
      </w:r>
      <w:r w:rsidRPr="007265C0">
        <w:rPr>
          <w:rFonts w:ascii="David" w:eastAsia="Calibri" w:hAnsi="David"/>
          <w:b/>
          <w:bCs/>
          <w:noProof w:val="0"/>
        </w:rPr>
        <w:t xml:space="preserve"> </w:t>
      </w:r>
      <w:r w:rsidRPr="007265C0">
        <w:rPr>
          <w:rFonts w:ascii="David" w:eastAsia="Calibri" w:hAnsi="David"/>
          <w:b/>
          <w:bCs/>
          <w:noProof w:val="0"/>
          <w:rtl/>
        </w:rPr>
        <w:t>את</w:t>
      </w:r>
      <w:r w:rsidRPr="007265C0">
        <w:rPr>
          <w:rFonts w:ascii="David" w:eastAsia="Calibri" w:hAnsi="David"/>
          <w:b/>
          <w:bCs/>
          <w:noProof w:val="0"/>
        </w:rPr>
        <w:t xml:space="preserve"> </w:t>
      </w:r>
      <w:r w:rsidRPr="007265C0">
        <w:rPr>
          <w:rFonts w:ascii="David" w:eastAsia="Calibri" w:hAnsi="David"/>
          <w:b/>
          <w:bCs/>
          <w:noProof w:val="0"/>
          <w:rtl/>
        </w:rPr>
        <w:t>המקרה</w:t>
      </w:r>
      <w:r w:rsidRPr="007265C0">
        <w:rPr>
          <w:rFonts w:ascii="David" w:eastAsia="Calibri" w:hAnsi="David"/>
          <w:b/>
          <w:bCs/>
          <w:noProof w:val="0"/>
        </w:rPr>
        <w:t xml:space="preserve"> </w:t>
      </w:r>
      <w:r w:rsidRPr="007265C0">
        <w:rPr>
          <w:rFonts w:ascii="David" w:eastAsia="Calibri" w:hAnsi="David"/>
          <w:b/>
          <w:bCs/>
          <w:noProof w:val="0"/>
          <w:rtl/>
        </w:rPr>
        <w:t>לרשות</w:t>
      </w:r>
      <w:r w:rsidRPr="007265C0">
        <w:rPr>
          <w:rFonts w:ascii="David" w:eastAsia="Calibri" w:hAnsi="David"/>
          <w:b/>
          <w:bCs/>
          <w:noProof w:val="0"/>
        </w:rPr>
        <w:t xml:space="preserve"> </w:t>
      </w:r>
      <w:r w:rsidRPr="007265C0">
        <w:rPr>
          <w:rFonts w:ascii="David" w:eastAsia="Calibri" w:hAnsi="David"/>
          <w:b/>
          <w:bCs/>
          <w:noProof w:val="0"/>
          <w:rtl/>
        </w:rPr>
        <w:t>השיפוטית</w:t>
      </w:r>
      <w:r w:rsidRPr="007265C0">
        <w:rPr>
          <w:rFonts w:ascii="David" w:eastAsia="Calibri" w:hAnsi="David"/>
          <w:b/>
          <w:bCs/>
          <w:noProof w:val="0"/>
        </w:rPr>
        <w:t xml:space="preserve"> </w:t>
      </w:r>
      <w:r w:rsidRPr="007265C0">
        <w:rPr>
          <w:rFonts w:ascii="David" w:eastAsia="Calibri" w:hAnsi="David"/>
          <w:b/>
          <w:bCs/>
          <w:noProof w:val="0"/>
          <w:rtl/>
        </w:rPr>
        <w:t>על ־ ידי</w:t>
      </w:r>
      <w:r w:rsidRPr="007265C0">
        <w:rPr>
          <w:rFonts w:ascii="David" w:eastAsia="Calibri" w:hAnsi="David"/>
          <w:b/>
          <w:bCs/>
          <w:noProof w:val="0"/>
        </w:rPr>
        <w:t xml:space="preserve"> </w:t>
      </w:r>
      <w:r w:rsidRPr="007265C0">
        <w:rPr>
          <w:rFonts w:ascii="David" w:eastAsia="Calibri" w:hAnsi="David"/>
          <w:b/>
          <w:bCs/>
          <w:noProof w:val="0"/>
          <w:rtl/>
        </w:rPr>
        <w:t>חיפוש ואיסוף</w:t>
      </w:r>
      <w:r w:rsidRPr="007265C0">
        <w:rPr>
          <w:rFonts w:ascii="David" w:eastAsia="Calibri" w:hAnsi="David"/>
          <w:b/>
          <w:bCs/>
          <w:noProof w:val="0"/>
        </w:rPr>
        <w:t xml:space="preserve"> </w:t>
      </w:r>
      <w:r w:rsidRPr="007265C0">
        <w:rPr>
          <w:rFonts w:ascii="David" w:eastAsia="Calibri" w:hAnsi="David"/>
          <w:b/>
          <w:bCs/>
          <w:noProof w:val="0"/>
          <w:rtl/>
        </w:rPr>
        <w:t>חומר</w:t>
      </w:r>
      <w:r w:rsidRPr="007265C0">
        <w:rPr>
          <w:rFonts w:ascii="David" w:eastAsia="Calibri" w:hAnsi="David"/>
          <w:b/>
          <w:bCs/>
          <w:noProof w:val="0"/>
        </w:rPr>
        <w:t xml:space="preserve"> </w:t>
      </w:r>
      <w:r w:rsidRPr="007265C0">
        <w:rPr>
          <w:rFonts w:ascii="David" w:eastAsia="Calibri" w:hAnsi="David"/>
          <w:b/>
          <w:bCs/>
          <w:noProof w:val="0"/>
          <w:rtl/>
        </w:rPr>
        <w:t>ההוכחה,</w:t>
      </w:r>
      <w:r w:rsidRPr="007265C0">
        <w:rPr>
          <w:rFonts w:ascii="David" w:eastAsia="Calibri" w:hAnsi="David"/>
          <w:b/>
          <w:bCs/>
          <w:noProof w:val="0"/>
        </w:rPr>
        <w:t xml:space="preserve"> </w:t>
      </w:r>
      <w:r w:rsidRPr="007265C0">
        <w:rPr>
          <w:rFonts w:ascii="David" w:eastAsia="Calibri" w:hAnsi="David"/>
          <w:b/>
          <w:bCs/>
          <w:noProof w:val="0"/>
          <w:rtl/>
        </w:rPr>
        <w:t>ואשר</w:t>
      </w:r>
      <w:r w:rsidRPr="007265C0">
        <w:rPr>
          <w:rFonts w:ascii="David" w:eastAsia="Calibri" w:hAnsi="David"/>
          <w:b/>
          <w:bCs/>
          <w:noProof w:val="0"/>
        </w:rPr>
        <w:t xml:space="preserve"> </w:t>
      </w:r>
      <w:r w:rsidRPr="007265C0">
        <w:rPr>
          <w:rFonts w:ascii="David" w:eastAsia="Calibri" w:hAnsi="David"/>
          <w:b/>
          <w:bCs/>
          <w:noProof w:val="0"/>
          <w:rtl/>
        </w:rPr>
        <w:t>נעשות</w:t>
      </w:r>
      <w:r w:rsidRPr="007265C0">
        <w:rPr>
          <w:rFonts w:ascii="David" w:eastAsia="Calibri" w:hAnsi="David"/>
          <w:b/>
          <w:bCs/>
          <w:noProof w:val="0"/>
        </w:rPr>
        <w:t xml:space="preserve"> </w:t>
      </w:r>
      <w:r w:rsidRPr="007265C0">
        <w:rPr>
          <w:rFonts w:ascii="David" w:eastAsia="Calibri" w:hAnsi="David"/>
          <w:b/>
          <w:bCs/>
          <w:noProof w:val="0"/>
          <w:rtl/>
        </w:rPr>
        <w:t>או</w:t>
      </w:r>
      <w:r w:rsidRPr="007265C0">
        <w:rPr>
          <w:rFonts w:ascii="David" w:eastAsia="Calibri" w:hAnsi="David"/>
          <w:b/>
          <w:bCs/>
          <w:noProof w:val="0"/>
        </w:rPr>
        <w:t xml:space="preserve"> </w:t>
      </w:r>
      <w:r w:rsidRPr="007265C0">
        <w:rPr>
          <w:rFonts w:ascii="David" w:eastAsia="Calibri" w:hAnsi="David"/>
          <w:b/>
          <w:bCs/>
          <w:noProof w:val="0"/>
          <w:rtl/>
        </w:rPr>
        <w:t>נגרמות</w:t>
      </w:r>
      <w:r w:rsidRPr="007265C0">
        <w:rPr>
          <w:rFonts w:ascii="David" w:eastAsia="Calibri" w:hAnsi="David"/>
          <w:b/>
          <w:bCs/>
          <w:noProof w:val="0"/>
        </w:rPr>
        <w:t xml:space="preserve"> </w:t>
      </w:r>
      <w:r w:rsidRPr="007265C0">
        <w:rPr>
          <w:rFonts w:ascii="David" w:eastAsia="Calibri" w:hAnsi="David"/>
          <w:b/>
          <w:bCs/>
          <w:noProof w:val="0"/>
          <w:rtl/>
        </w:rPr>
        <w:t>על ־ ידי</w:t>
      </w:r>
      <w:r w:rsidRPr="007265C0">
        <w:rPr>
          <w:rFonts w:ascii="David" w:eastAsia="Calibri" w:hAnsi="David"/>
          <w:b/>
          <w:bCs/>
          <w:noProof w:val="0"/>
        </w:rPr>
        <w:t xml:space="preserve"> </w:t>
      </w:r>
      <w:r w:rsidRPr="007265C0">
        <w:rPr>
          <w:rFonts w:ascii="David" w:eastAsia="Calibri" w:hAnsi="David"/>
          <w:b/>
          <w:bCs/>
          <w:noProof w:val="0"/>
          <w:rtl/>
        </w:rPr>
        <w:t>אנשי</w:t>
      </w:r>
      <w:r w:rsidRPr="007265C0">
        <w:rPr>
          <w:rFonts w:ascii="David" w:eastAsia="Calibri" w:hAnsi="David"/>
          <w:b/>
          <w:bCs/>
          <w:noProof w:val="0"/>
        </w:rPr>
        <w:t xml:space="preserve"> </w:t>
      </w:r>
      <w:r w:rsidRPr="007265C0">
        <w:rPr>
          <w:rFonts w:ascii="David" w:eastAsia="Calibri" w:hAnsi="David"/>
          <w:b/>
          <w:bCs/>
          <w:noProof w:val="0"/>
          <w:rtl/>
        </w:rPr>
        <w:t>המשטרה המשפטית, הפועלים</w:t>
      </w:r>
      <w:r w:rsidRPr="007265C0">
        <w:rPr>
          <w:rFonts w:ascii="David" w:eastAsia="Calibri" w:hAnsi="David"/>
          <w:b/>
          <w:bCs/>
          <w:noProof w:val="0"/>
        </w:rPr>
        <w:t xml:space="preserve"> </w:t>
      </w:r>
      <w:r w:rsidRPr="007265C0">
        <w:rPr>
          <w:rFonts w:ascii="David" w:eastAsia="Calibri" w:hAnsi="David"/>
          <w:b/>
          <w:bCs/>
          <w:noProof w:val="0"/>
          <w:rtl/>
        </w:rPr>
        <w:t>באופן</w:t>
      </w:r>
      <w:r w:rsidRPr="007265C0">
        <w:rPr>
          <w:rFonts w:ascii="David" w:eastAsia="Calibri" w:hAnsi="David"/>
          <w:b/>
          <w:bCs/>
          <w:noProof w:val="0"/>
        </w:rPr>
        <w:t xml:space="preserve"> </w:t>
      </w:r>
      <w:r w:rsidRPr="007265C0">
        <w:rPr>
          <w:rFonts w:ascii="David" w:eastAsia="Calibri" w:hAnsi="David"/>
          <w:b/>
          <w:bCs/>
          <w:noProof w:val="0"/>
          <w:rtl/>
        </w:rPr>
        <w:t>רשמי, כגון</w:t>
      </w:r>
      <w:r w:rsidRPr="007265C0">
        <w:rPr>
          <w:rFonts w:ascii="David" w:eastAsia="Calibri" w:hAnsi="David"/>
          <w:b/>
          <w:bCs/>
          <w:noProof w:val="0"/>
        </w:rPr>
        <w:t xml:space="preserve"> </w:t>
      </w:r>
      <w:r w:rsidRPr="007265C0">
        <w:rPr>
          <w:rFonts w:ascii="David" w:eastAsia="Calibri" w:hAnsi="David"/>
          <w:b/>
          <w:bCs/>
          <w:noProof w:val="0"/>
          <w:rtl/>
        </w:rPr>
        <w:t>ביקור</w:t>
      </w:r>
      <w:r w:rsidRPr="007265C0">
        <w:rPr>
          <w:rFonts w:ascii="David" w:eastAsia="Calibri" w:hAnsi="David"/>
          <w:b/>
          <w:bCs/>
          <w:noProof w:val="0"/>
        </w:rPr>
        <w:t xml:space="preserve"> </w:t>
      </w:r>
      <w:r w:rsidRPr="007265C0">
        <w:rPr>
          <w:rFonts w:ascii="David" w:eastAsia="Calibri" w:hAnsi="David"/>
          <w:b/>
          <w:bCs/>
          <w:noProof w:val="0"/>
          <w:rtl/>
        </w:rPr>
        <w:t>במקום, הוצאת</w:t>
      </w:r>
      <w:r w:rsidRPr="007265C0">
        <w:rPr>
          <w:rFonts w:ascii="David" w:eastAsia="Calibri" w:hAnsi="David"/>
          <w:b/>
          <w:bCs/>
          <w:noProof w:val="0"/>
        </w:rPr>
        <w:t xml:space="preserve"> </w:t>
      </w:r>
      <w:r w:rsidRPr="007265C0">
        <w:rPr>
          <w:rFonts w:ascii="David" w:eastAsia="Calibri" w:hAnsi="David"/>
          <w:b/>
          <w:bCs/>
          <w:noProof w:val="0"/>
          <w:rtl/>
        </w:rPr>
        <w:t>גופה</w:t>
      </w:r>
      <w:r w:rsidRPr="007265C0">
        <w:rPr>
          <w:rFonts w:ascii="David" w:eastAsia="Calibri" w:hAnsi="David"/>
          <w:b/>
          <w:bCs/>
          <w:noProof w:val="0"/>
        </w:rPr>
        <w:t xml:space="preserve"> </w:t>
      </w:r>
      <w:r w:rsidRPr="007265C0">
        <w:rPr>
          <w:rFonts w:ascii="David" w:eastAsia="Calibri" w:hAnsi="David"/>
          <w:b/>
          <w:bCs/>
          <w:noProof w:val="0"/>
          <w:rtl/>
        </w:rPr>
        <w:t>מן</w:t>
      </w:r>
      <w:r w:rsidRPr="007265C0">
        <w:rPr>
          <w:rFonts w:ascii="David" w:eastAsia="Calibri" w:hAnsi="David"/>
          <w:b/>
          <w:bCs/>
          <w:noProof w:val="0"/>
        </w:rPr>
        <w:t xml:space="preserve"> </w:t>
      </w:r>
      <w:r w:rsidRPr="007265C0">
        <w:rPr>
          <w:rFonts w:ascii="David" w:eastAsia="Calibri" w:hAnsi="David"/>
          <w:b/>
          <w:bCs/>
          <w:noProof w:val="0"/>
          <w:rtl/>
        </w:rPr>
        <w:lastRenderedPageBreak/>
        <w:t>הקבר</w:t>
      </w:r>
      <w:r w:rsidRPr="007265C0">
        <w:rPr>
          <w:rFonts w:ascii="David" w:eastAsia="Calibri" w:hAnsi="David"/>
          <w:b/>
          <w:bCs/>
          <w:noProof w:val="0"/>
        </w:rPr>
        <w:t>,</w:t>
      </w:r>
      <w:r w:rsidRPr="007265C0">
        <w:rPr>
          <w:rFonts w:ascii="David" w:eastAsia="Calibri" w:hAnsi="David"/>
          <w:b/>
          <w:bCs/>
          <w:noProof w:val="0"/>
          <w:rtl/>
        </w:rPr>
        <w:t xml:space="preserve"> חיפוש,</w:t>
      </w:r>
      <w:r w:rsidRPr="007265C0">
        <w:rPr>
          <w:rFonts w:ascii="David" w:eastAsia="Calibri" w:hAnsi="David"/>
          <w:b/>
          <w:bCs/>
          <w:noProof w:val="0"/>
        </w:rPr>
        <w:t xml:space="preserve"> </w:t>
      </w:r>
      <w:r w:rsidRPr="007265C0">
        <w:rPr>
          <w:rFonts w:ascii="David" w:eastAsia="Calibri" w:hAnsi="David"/>
          <w:b/>
          <w:bCs/>
          <w:noProof w:val="0"/>
          <w:rtl/>
        </w:rPr>
        <w:t>החרמת</w:t>
      </w:r>
      <w:r w:rsidRPr="007265C0">
        <w:rPr>
          <w:rFonts w:ascii="David" w:eastAsia="Calibri" w:hAnsi="David"/>
          <w:b/>
          <w:bCs/>
          <w:noProof w:val="0"/>
        </w:rPr>
        <w:t xml:space="preserve"> </w:t>
      </w:r>
      <w:r w:rsidRPr="007265C0">
        <w:rPr>
          <w:rFonts w:ascii="David" w:eastAsia="Calibri" w:hAnsi="David"/>
          <w:b/>
          <w:bCs/>
          <w:noProof w:val="0"/>
          <w:rtl/>
        </w:rPr>
        <w:t>דברים, חקירת</w:t>
      </w:r>
      <w:r w:rsidRPr="007265C0">
        <w:rPr>
          <w:rFonts w:ascii="David" w:eastAsia="Calibri" w:hAnsi="David"/>
          <w:b/>
          <w:bCs/>
          <w:noProof w:val="0"/>
        </w:rPr>
        <w:t xml:space="preserve"> </w:t>
      </w:r>
      <w:r w:rsidRPr="007265C0">
        <w:rPr>
          <w:rFonts w:ascii="David" w:eastAsia="Calibri" w:hAnsi="David"/>
          <w:b/>
          <w:bCs/>
          <w:noProof w:val="0"/>
          <w:rtl/>
        </w:rPr>
        <w:t>עדים, דו"ח ערוך על ידי אדם שמוסמך לערכו, הזמנת עד ואף צו הפסקת פעולות אלה, הן פעולות חקירה"</w:t>
      </w:r>
      <w:r w:rsidR="00B51AA0" w:rsidRPr="007265C0">
        <w:rPr>
          <w:rFonts w:ascii="David" w:eastAsia="Calibri" w:hAnsi="David" w:hint="cs"/>
          <w:noProof w:val="0"/>
          <w:rtl/>
        </w:rPr>
        <w:t>.</w:t>
      </w:r>
    </w:p>
    <w:p w:rsidR="00CA2E54" w:rsidRPr="007265C0" w:rsidRDefault="00CA2E54" w:rsidP="00CA2E54">
      <w:pPr>
        <w:spacing w:after="160" w:line="360" w:lineRule="auto"/>
        <w:ind w:firstLine="720"/>
        <w:jc w:val="both"/>
        <w:rPr>
          <w:rFonts w:ascii="David" w:eastAsia="Calibri" w:hAnsi="David"/>
          <w:noProof w:val="0"/>
          <w:rtl/>
        </w:rPr>
      </w:pPr>
      <w:r w:rsidRPr="007265C0">
        <w:rPr>
          <w:rFonts w:ascii="David" w:eastAsia="Calibri" w:hAnsi="David"/>
          <w:b/>
          <w:bCs/>
          <w:noProof w:val="0"/>
          <w:rtl/>
        </w:rPr>
        <w:t>בעניין פלוני</w:t>
      </w:r>
      <w:r w:rsidRPr="007265C0">
        <w:rPr>
          <w:rFonts w:ascii="David" w:eastAsia="Calibri" w:hAnsi="David"/>
          <w:noProof w:val="0"/>
          <w:rtl/>
        </w:rPr>
        <w:t xml:space="preserve"> נקבע כאמור בדעת רוב, בהקשר של אירוע המנתק התיישנות של עבירה, כי</w:t>
      </w:r>
    </w:p>
    <w:p w:rsidR="00CA2E54" w:rsidRPr="007265C0" w:rsidRDefault="00CA2E54" w:rsidP="00B51AA0">
      <w:pPr>
        <w:spacing w:after="160" w:line="360" w:lineRule="auto"/>
        <w:ind w:left="1077" w:right="851"/>
        <w:jc w:val="both"/>
        <w:rPr>
          <w:rFonts w:ascii="David" w:eastAsia="Calibri" w:hAnsi="David"/>
          <w:b/>
          <w:bCs/>
          <w:noProof w:val="0"/>
          <w:rtl/>
        </w:rPr>
      </w:pPr>
      <w:r w:rsidRPr="007265C0">
        <w:rPr>
          <w:rFonts w:ascii="David" w:eastAsia="Calibri" w:hAnsi="David"/>
          <w:b/>
          <w:bCs/>
          <w:noProof w:val="0"/>
          <w:rtl/>
        </w:rPr>
        <w:t xml:space="preserve">"'חקירה' בהקשר זה היא פעולת חיפוש ואיסוף חומר הוכחה לבית המשפט, הנערכת בידי המשטרה או בידי נושא משרה המוסמך לערכה, כדי להכין תביעה פלילית העתידה לבוא. הליך חקירה חייב להיות 'הליך רשמי' מהותי וענייני, להבדיל מ'בירורים מוקדמים' או מ'איסוף מידע' גרידא, שאין בהם משום עשיית פעולת חקירה ממשית. לעניין זה, יש להבחין בין הליך מנהלי שמשמעותו פעילות של הכנה לקראת חקירה לבין הליך של חקירה פלילית, המבטא פעולה ממשית המכינה את התביעה הפלילית" </w:t>
      </w:r>
    </w:p>
    <w:p w:rsidR="00CA2E54" w:rsidRPr="007265C0" w:rsidRDefault="00B51AA0" w:rsidP="0070652B">
      <w:pPr>
        <w:spacing w:after="160" w:line="360" w:lineRule="auto"/>
        <w:jc w:val="both"/>
        <w:rPr>
          <w:rFonts w:ascii="David" w:eastAsia="Calibri" w:hAnsi="David"/>
          <w:noProof w:val="0"/>
          <w:rtl/>
        </w:rPr>
      </w:pPr>
      <w:r w:rsidRPr="007265C0">
        <w:rPr>
          <w:rFonts w:ascii="David" w:eastAsia="Calibri" w:hAnsi="David" w:hint="cs"/>
          <w:noProof w:val="0"/>
          <w:rtl/>
        </w:rPr>
        <w:t>1</w:t>
      </w:r>
      <w:r w:rsidR="0070652B" w:rsidRPr="007265C0">
        <w:rPr>
          <w:rFonts w:ascii="David" w:eastAsia="Calibri" w:hAnsi="David" w:hint="cs"/>
          <w:noProof w:val="0"/>
          <w:rtl/>
        </w:rPr>
        <w:t>5</w:t>
      </w:r>
      <w:r w:rsidRPr="007265C0">
        <w:rPr>
          <w:rFonts w:ascii="David" w:eastAsia="Calibri" w:hAnsi="David" w:hint="cs"/>
          <w:noProof w:val="0"/>
          <w:rtl/>
        </w:rPr>
        <w:t>.</w:t>
      </w:r>
      <w:r w:rsidRPr="007265C0">
        <w:rPr>
          <w:rFonts w:ascii="David" w:eastAsia="Calibri" w:hAnsi="David" w:hint="cs"/>
          <w:noProof w:val="0"/>
          <w:rtl/>
        </w:rPr>
        <w:tab/>
      </w:r>
      <w:r w:rsidR="00CA2E54" w:rsidRPr="007265C0">
        <w:rPr>
          <w:rFonts w:ascii="David" w:eastAsia="Calibri" w:hAnsi="David"/>
          <w:noProof w:val="0"/>
          <w:rtl/>
        </w:rPr>
        <w:t>בע"פ 2144/08 </w:t>
      </w:r>
      <w:r w:rsidR="00CA2E54" w:rsidRPr="007265C0">
        <w:rPr>
          <w:rFonts w:ascii="David" w:eastAsia="Calibri" w:hAnsi="David"/>
          <w:b/>
          <w:bCs/>
          <w:noProof w:val="0"/>
          <w:rtl/>
        </w:rPr>
        <w:t>מונדרוביץ נ' מדינת ישראל</w:t>
      </w:r>
      <w:r w:rsidR="00CA2E54" w:rsidRPr="007265C0">
        <w:rPr>
          <w:rFonts w:ascii="David" w:eastAsia="Calibri" w:hAnsi="David"/>
          <w:noProof w:val="0"/>
          <w:rtl/>
        </w:rPr>
        <w:t xml:space="preserve"> (14.01.2010)) (להלן: </w:t>
      </w:r>
      <w:r w:rsidR="00CA2E54" w:rsidRPr="007265C0">
        <w:rPr>
          <w:rFonts w:ascii="David" w:eastAsia="Calibri" w:hAnsi="David"/>
          <w:b/>
          <w:bCs/>
          <w:noProof w:val="0"/>
          <w:rtl/>
        </w:rPr>
        <w:t>עניין מונדרוביץ</w:t>
      </w:r>
      <w:r w:rsidR="00CA2E54" w:rsidRPr="007265C0">
        <w:rPr>
          <w:rFonts w:ascii="David" w:eastAsia="Calibri" w:hAnsi="David"/>
          <w:noProof w:val="0"/>
          <w:rtl/>
        </w:rPr>
        <w:t xml:space="preserve">), סקר בית המשפט בהרחבה את הפסיקה הקיימת, והגיע למסקנה לפיה </w:t>
      </w:r>
    </w:p>
    <w:p w:rsidR="00CA2E54" w:rsidRPr="007265C0" w:rsidRDefault="00CA2E54" w:rsidP="00B51AA0">
      <w:pPr>
        <w:spacing w:after="160" w:line="360" w:lineRule="auto"/>
        <w:ind w:left="1077" w:right="851"/>
        <w:jc w:val="both"/>
        <w:rPr>
          <w:rFonts w:ascii="David" w:eastAsia="Calibri" w:hAnsi="David"/>
          <w:noProof w:val="0"/>
          <w:rtl/>
        </w:rPr>
      </w:pPr>
      <w:r w:rsidRPr="007265C0">
        <w:rPr>
          <w:rFonts w:ascii="David" w:eastAsia="Calibri" w:hAnsi="David"/>
          <w:b/>
          <w:bCs/>
          <w:noProof w:val="0"/>
          <w:rtl/>
        </w:rPr>
        <w:t xml:space="preserve">"פעולת חקירה שיש בה כדי לעצור את מירוץ ההתיישנות מתאפיינת, אפוא, בפעולה ממשית המכינה את התביעה הפלילית ומקדמת אותה. עיקרה – באיסוף ראיות. על-פי רוב, פעולה זו מתבצעת לפני הגשת כתב אישום" </w:t>
      </w:r>
      <w:r w:rsidRPr="007265C0">
        <w:rPr>
          <w:rFonts w:ascii="David" w:eastAsia="Calibri" w:hAnsi="David"/>
          <w:noProof w:val="0"/>
          <w:rtl/>
        </w:rPr>
        <w:t>(פסקה 74).</w:t>
      </w:r>
    </w:p>
    <w:p w:rsidR="00CA2E54" w:rsidRPr="007265C0" w:rsidRDefault="00CA2E54" w:rsidP="00CA2E54">
      <w:pPr>
        <w:spacing w:after="160" w:line="360" w:lineRule="auto"/>
        <w:ind w:firstLine="720"/>
        <w:jc w:val="both"/>
        <w:rPr>
          <w:rFonts w:ascii="David" w:eastAsia="Calibri" w:hAnsi="David"/>
          <w:noProof w:val="0"/>
          <w:rtl/>
        </w:rPr>
      </w:pPr>
      <w:r w:rsidRPr="007265C0">
        <w:rPr>
          <w:rFonts w:ascii="David" w:eastAsia="Calibri" w:hAnsi="David"/>
          <w:noProof w:val="0"/>
          <w:rtl/>
        </w:rPr>
        <w:t>הגדרות אלו אומצו על ידי בית המשפט גם בע"פ 4209/14 </w:t>
      </w:r>
      <w:r w:rsidRPr="007265C0">
        <w:rPr>
          <w:rFonts w:ascii="David" w:eastAsia="Calibri" w:hAnsi="David"/>
          <w:b/>
          <w:bCs/>
          <w:noProof w:val="0"/>
          <w:rtl/>
        </w:rPr>
        <w:t>קרן נ' מדינת ישראל</w:t>
      </w:r>
      <w:r w:rsidRPr="007265C0">
        <w:rPr>
          <w:rFonts w:ascii="David" w:eastAsia="Calibri" w:hAnsi="David"/>
          <w:noProof w:val="0"/>
          <w:rtl/>
        </w:rPr>
        <w:t xml:space="preserve"> (15.11.2015)). (להלן: </w:t>
      </w:r>
      <w:r w:rsidRPr="007265C0">
        <w:rPr>
          <w:rFonts w:ascii="David" w:eastAsia="Calibri" w:hAnsi="David"/>
          <w:b/>
          <w:bCs/>
          <w:noProof w:val="0"/>
          <w:rtl/>
        </w:rPr>
        <w:t>עניין קרן</w:t>
      </w:r>
      <w:r w:rsidRPr="007265C0">
        <w:rPr>
          <w:rFonts w:ascii="David" w:eastAsia="Calibri" w:hAnsi="David"/>
          <w:noProof w:val="0"/>
          <w:rtl/>
        </w:rPr>
        <w:t xml:space="preserve">), (פסקה 62 לפסק הדין). </w:t>
      </w:r>
    </w:p>
    <w:p w:rsidR="00CA2E54" w:rsidRPr="007265C0" w:rsidRDefault="00CA2E54" w:rsidP="00CA2E54">
      <w:pPr>
        <w:spacing w:after="160" w:line="360" w:lineRule="auto"/>
        <w:ind w:firstLine="720"/>
        <w:jc w:val="both"/>
        <w:rPr>
          <w:rFonts w:ascii="David" w:eastAsia="Calibri" w:hAnsi="David"/>
          <w:noProof w:val="0"/>
          <w:rtl/>
        </w:rPr>
      </w:pPr>
      <w:r w:rsidRPr="007265C0">
        <w:rPr>
          <w:rFonts w:ascii="David" w:eastAsia="Calibri" w:hAnsi="David"/>
          <w:noProof w:val="0"/>
          <w:rtl/>
        </w:rPr>
        <w:t xml:space="preserve">עוד נקבע בעניין </w:t>
      </w:r>
      <w:r w:rsidRPr="007265C0">
        <w:rPr>
          <w:rFonts w:ascii="David" w:eastAsia="Calibri" w:hAnsi="David"/>
          <w:b/>
          <w:bCs/>
          <w:noProof w:val="0"/>
          <w:rtl/>
        </w:rPr>
        <w:t>קרן</w:t>
      </w:r>
      <w:r w:rsidRPr="007265C0">
        <w:rPr>
          <w:rFonts w:ascii="David" w:eastAsia="Calibri" w:hAnsi="David"/>
          <w:noProof w:val="0"/>
          <w:rtl/>
        </w:rPr>
        <w:t xml:space="preserve"> כי </w:t>
      </w:r>
    </w:p>
    <w:p w:rsidR="007265C0" w:rsidRDefault="00CA2E54" w:rsidP="007265C0">
      <w:pPr>
        <w:spacing w:after="160" w:line="360" w:lineRule="auto"/>
        <w:ind w:left="1077" w:right="851"/>
        <w:jc w:val="both"/>
        <w:rPr>
          <w:rFonts w:ascii="David" w:eastAsia="Calibri" w:hAnsi="David"/>
          <w:b/>
          <w:bCs/>
          <w:noProof w:val="0"/>
          <w:rtl/>
        </w:rPr>
      </w:pPr>
      <w:r w:rsidRPr="007265C0">
        <w:rPr>
          <w:rFonts w:ascii="David" w:eastAsia="Calibri" w:hAnsi="David"/>
          <w:b/>
          <w:bCs/>
          <w:noProof w:val="0"/>
          <w:rtl/>
        </w:rPr>
        <w:t>"ברי כי עלינו להתחקות אחר מהותה של פעולת החקירה הנטענת, ולאו דווקא להתמקד בזהותו של החוקר (בענייננו – גוף חיצוני שנתבקש לחקור מטעם המשטרה) או ביחס בינה לבין פעולות חקירה אחרות (בענייננו – פעולה מקדמית שנועדה לאפשר את ביצוע חקירת החשוד)"</w:t>
      </w:r>
      <w:r w:rsidR="007265C0">
        <w:rPr>
          <w:rFonts w:ascii="David" w:eastAsia="Calibri" w:hAnsi="David"/>
          <w:noProof w:val="0"/>
          <w:rtl/>
        </w:rPr>
        <w:t xml:space="preserve"> (פסקה 62 לפסק הדין)</w:t>
      </w:r>
      <w:r w:rsidR="007265C0">
        <w:rPr>
          <w:rFonts w:ascii="David" w:eastAsia="Calibri" w:hAnsi="David" w:hint="cs"/>
          <w:noProof w:val="0"/>
          <w:rtl/>
        </w:rPr>
        <w:t>.</w:t>
      </w:r>
    </w:p>
    <w:p w:rsidR="007265C0" w:rsidRDefault="007265C0" w:rsidP="007265C0">
      <w:pPr>
        <w:spacing w:after="160" w:line="360" w:lineRule="auto"/>
        <w:ind w:right="851"/>
        <w:jc w:val="both"/>
        <w:rPr>
          <w:rFonts w:ascii="David" w:eastAsia="Calibri" w:hAnsi="David"/>
          <w:b/>
          <w:bCs/>
          <w:noProof w:val="0"/>
          <w:rtl/>
        </w:rPr>
      </w:pPr>
    </w:p>
    <w:p w:rsidR="007265C0" w:rsidRDefault="007265C0" w:rsidP="007265C0">
      <w:pPr>
        <w:spacing w:after="160" w:line="360" w:lineRule="auto"/>
        <w:ind w:right="851"/>
        <w:jc w:val="both"/>
        <w:rPr>
          <w:rFonts w:ascii="David" w:eastAsia="Calibri" w:hAnsi="David"/>
          <w:b/>
          <w:bCs/>
          <w:noProof w:val="0"/>
          <w:rtl/>
        </w:rPr>
      </w:pPr>
    </w:p>
    <w:p w:rsidR="007265C0" w:rsidRDefault="007265C0" w:rsidP="007265C0">
      <w:pPr>
        <w:spacing w:after="160" w:line="360" w:lineRule="auto"/>
        <w:ind w:right="851"/>
        <w:jc w:val="both"/>
        <w:rPr>
          <w:rFonts w:ascii="David" w:eastAsia="Calibri" w:hAnsi="David"/>
          <w:b/>
          <w:bCs/>
          <w:noProof w:val="0"/>
          <w:rtl/>
        </w:rPr>
      </w:pPr>
    </w:p>
    <w:p w:rsidR="00F53C8C" w:rsidRPr="00F53C8C" w:rsidRDefault="00F53C8C" w:rsidP="007265C0">
      <w:pPr>
        <w:spacing w:after="160" w:line="360" w:lineRule="auto"/>
        <w:ind w:right="851"/>
        <w:jc w:val="both"/>
        <w:rPr>
          <w:rFonts w:ascii="David" w:eastAsia="Calibri" w:hAnsi="David"/>
          <w:b/>
          <w:bCs/>
          <w:noProof w:val="0"/>
          <w:rtl/>
        </w:rPr>
      </w:pPr>
      <w:r w:rsidRPr="00F53C8C">
        <w:rPr>
          <w:rFonts w:ascii="David" w:eastAsia="Calibri" w:hAnsi="David"/>
          <w:b/>
          <w:bCs/>
          <w:noProof w:val="0"/>
          <w:rtl/>
        </w:rPr>
        <w:lastRenderedPageBreak/>
        <w:t>ומן הכלל אל הפרט:</w:t>
      </w:r>
    </w:p>
    <w:p w:rsidR="00F53C8C" w:rsidRPr="00F53C8C" w:rsidRDefault="00E35532" w:rsidP="0070652B">
      <w:pPr>
        <w:spacing w:after="160" w:line="360" w:lineRule="auto"/>
        <w:jc w:val="both"/>
        <w:rPr>
          <w:rFonts w:ascii="David" w:eastAsia="Calibri" w:hAnsi="David"/>
          <w:noProof w:val="0"/>
          <w:rtl/>
        </w:rPr>
      </w:pPr>
      <w:r w:rsidRPr="007265C0">
        <w:rPr>
          <w:rFonts w:ascii="David" w:eastAsia="Calibri" w:hAnsi="David" w:hint="cs"/>
          <w:noProof w:val="0"/>
          <w:rtl/>
        </w:rPr>
        <w:t>1</w:t>
      </w:r>
      <w:r w:rsidR="0070652B" w:rsidRPr="007265C0">
        <w:rPr>
          <w:rFonts w:ascii="David" w:eastAsia="Calibri" w:hAnsi="David" w:hint="cs"/>
          <w:noProof w:val="0"/>
          <w:rtl/>
        </w:rPr>
        <w:t>6</w:t>
      </w:r>
      <w:r w:rsidRPr="007265C0">
        <w:rPr>
          <w:rFonts w:ascii="David" w:eastAsia="Calibri" w:hAnsi="David" w:hint="cs"/>
          <w:noProof w:val="0"/>
          <w:rtl/>
        </w:rPr>
        <w:t>.</w:t>
      </w:r>
      <w:r w:rsidRPr="007265C0">
        <w:rPr>
          <w:rFonts w:ascii="David" w:eastAsia="Calibri" w:hAnsi="David" w:hint="cs"/>
          <w:noProof w:val="0"/>
          <w:rtl/>
        </w:rPr>
        <w:tab/>
      </w:r>
      <w:r w:rsidR="00F53C8C" w:rsidRPr="00F53C8C">
        <w:rPr>
          <w:rFonts w:ascii="David" w:eastAsia="Calibri" w:hAnsi="David"/>
          <w:noProof w:val="0"/>
          <w:rtl/>
        </w:rPr>
        <w:t>אין חולק כי כתב האישום הוגש בחלוף תקופת ההתיישנות</w:t>
      </w:r>
      <w:r w:rsidR="003C28B4" w:rsidRPr="007265C0">
        <w:rPr>
          <w:rFonts w:ascii="David" w:eastAsia="Calibri" w:hAnsi="David" w:hint="cs"/>
          <w:noProof w:val="0"/>
          <w:rtl/>
        </w:rPr>
        <w:t>,</w:t>
      </w:r>
      <w:r w:rsidR="00F53C8C" w:rsidRPr="00F53C8C">
        <w:rPr>
          <w:rFonts w:ascii="David" w:eastAsia="Calibri" w:hAnsi="David"/>
          <w:noProof w:val="0"/>
          <w:rtl/>
        </w:rPr>
        <w:t xml:space="preserve"> ומשכך, נטל הראיה הוא על המאשימה</w:t>
      </w:r>
      <w:r w:rsidR="005545A4" w:rsidRPr="007265C0">
        <w:rPr>
          <w:rFonts w:ascii="David" w:eastAsia="Calibri" w:hAnsi="David" w:hint="cs"/>
          <w:noProof w:val="0"/>
          <w:rtl/>
        </w:rPr>
        <w:t>,</w:t>
      </w:r>
      <w:r w:rsidR="00F53C8C" w:rsidRPr="00F53C8C">
        <w:rPr>
          <w:rFonts w:ascii="David" w:eastAsia="Calibri" w:hAnsi="David"/>
          <w:noProof w:val="0"/>
          <w:rtl/>
        </w:rPr>
        <w:t xml:space="preserve"> להוכיח כי לפני תום תקופת ההתיישנות נעשו פעולות חקירה העוצרות את מירוץ ההתיישנות (ע"פ 211/79</w:t>
      </w:r>
      <w:r w:rsidR="00F53C8C" w:rsidRPr="00F53C8C">
        <w:rPr>
          <w:rFonts w:ascii="David" w:eastAsia="Calibri" w:hAnsi="David"/>
          <w:b/>
          <w:bCs/>
          <w:noProof w:val="0"/>
          <w:rtl/>
        </w:rPr>
        <w:t xml:space="preserve"> גזית ושחם בע"מ נ' מדינת ישראל, </w:t>
      </w:r>
      <w:r w:rsidR="00F53C8C" w:rsidRPr="00F53C8C">
        <w:rPr>
          <w:rFonts w:ascii="David" w:eastAsia="Calibri" w:hAnsi="David"/>
          <w:noProof w:val="0"/>
          <w:rtl/>
        </w:rPr>
        <w:t>פ"ד לד(1) 716 (1979)).</w:t>
      </w:r>
      <w:r w:rsidR="00F53C8C" w:rsidRPr="00F53C8C">
        <w:rPr>
          <w:rFonts w:ascii="David" w:eastAsia="Calibri" w:hAnsi="David"/>
          <w:b/>
          <w:bCs/>
          <w:noProof w:val="0"/>
          <w:rtl/>
        </w:rPr>
        <w:t xml:space="preserve"> </w:t>
      </w:r>
    </w:p>
    <w:p w:rsidR="00F53C8C" w:rsidRPr="00F53C8C" w:rsidRDefault="00F53C8C" w:rsidP="005545A4">
      <w:pPr>
        <w:spacing w:after="160" w:line="360" w:lineRule="auto"/>
        <w:ind w:firstLine="720"/>
        <w:jc w:val="both"/>
        <w:rPr>
          <w:rFonts w:ascii="David" w:eastAsia="Calibri" w:hAnsi="David"/>
          <w:noProof w:val="0"/>
          <w:rtl/>
        </w:rPr>
      </w:pPr>
      <w:r w:rsidRPr="00F53C8C">
        <w:rPr>
          <w:rFonts w:ascii="David" w:eastAsia="Calibri" w:hAnsi="David"/>
          <w:noProof w:val="0"/>
          <w:rtl/>
        </w:rPr>
        <w:t>התשתית העובדתית לדיון בשאלת ההתיישנות מבוססת על עדויות של מספר אנשי משטרה. לאחר שהמחלוקת בין הצדדים צומצמה לפעולות שבוצעו בשנת 2010 בלבד, חלק מהעדויות שנשמעו התייתרו, ביניהן עדותו של ראש הצח"מ שניהל את החקירה, סנ"צ סלומון עמיר.</w:t>
      </w:r>
    </w:p>
    <w:p w:rsidR="00F53C8C" w:rsidRPr="00F53C8C" w:rsidRDefault="005545A4" w:rsidP="0070652B">
      <w:pPr>
        <w:spacing w:after="160" w:line="360" w:lineRule="auto"/>
        <w:jc w:val="both"/>
        <w:rPr>
          <w:rFonts w:ascii="David" w:eastAsia="Calibri" w:hAnsi="David"/>
          <w:noProof w:val="0"/>
          <w:rtl/>
        </w:rPr>
      </w:pPr>
      <w:r w:rsidRPr="007265C0">
        <w:rPr>
          <w:rFonts w:ascii="David" w:eastAsia="Calibri" w:hAnsi="David" w:hint="cs"/>
          <w:noProof w:val="0"/>
          <w:rtl/>
        </w:rPr>
        <w:t>1</w:t>
      </w:r>
      <w:r w:rsidR="0070652B" w:rsidRPr="007265C0">
        <w:rPr>
          <w:rFonts w:ascii="David" w:eastAsia="Calibri" w:hAnsi="David" w:hint="cs"/>
          <w:noProof w:val="0"/>
          <w:rtl/>
        </w:rPr>
        <w:t>7</w:t>
      </w:r>
      <w:r w:rsidRPr="007265C0">
        <w:rPr>
          <w:rFonts w:ascii="David" w:eastAsia="Calibri" w:hAnsi="David" w:hint="cs"/>
          <w:noProof w:val="0"/>
          <w:rtl/>
        </w:rPr>
        <w:t>.</w:t>
      </w:r>
      <w:r w:rsidRPr="007265C0">
        <w:rPr>
          <w:rFonts w:ascii="David" w:eastAsia="Calibri" w:hAnsi="David" w:hint="cs"/>
          <w:noProof w:val="0"/>
          <w:rtl/>
        </w:rPr>
        <w:tab/>
      </w:r>
      <w:r w:rsidR="00F53C8C" w:rsidRPr="00F53C8C">
        <w:rPr>
          <w:rFonts w:ascii="David" w:eastAsia="Calibri" w:hAnsi="David"/>
          <w:noProof w:val="0"/>
          <w:rtl/>
        </w:rPr>
        <w:t>העד המרכזי בעניין זה הוא עד ההגנה, ניצב בדימוס יואב סגלוביץ, המכהן כיום כחב</w:t>
      </w:r>
      <w:r w:rsidRPr="007265C0">
        <w:rPr>
          <w:rFonts w:ascii="David" w:eastAsia="Calibri" w:hAnsi="David"/>
          <w:noProof w:val="0"/>
          <w:rtl/>
        </w:rPr>
        <w:t>ר כנסת. סגלוביץ שימש, בין היתר,</w:t>
      </w:r>
      <w:r w:rsidR="00F53C8C" w:rsidRPr="00F53C8C">
        <w:rPr>
          <w:rFonts w:ascii="David" w:eastAsia="Calibri" w:hAnsi="David"/>
          <w:noProof w:val="0"/>
          <w:rtl/>
        </w:rPr>
        <w:t xml:space="preserve"> בתפקיד ראש אגף חקירות ומודיעין במשטרה, וכן שימש כראש היחידה הכלכלית (יאל"כ). יצויין כי המאשימה בחרה שלא לחקור נגדית את העד סגלוביץ, כך שהמסקנה הברורה היא שעדותו אינה שנויה במחלוקת. </w:t>
      </w:r>
    </w:p>
    <w:p w:rsidR="00F53C8C" w:rsidRPr="00F53C8C" w:rsidRDefault="00F53C8C" w:rsidP="00F53C8C">
      <w:pPr>
        <w:spacing w:after="160" w:line="360" w:lineRule="auto"/>
        <w:jc w:val="both"/>
        <w:rPr>
          <w:rFonts w:ascii="David" w:eastAsia="Calibri" w:hAnsi="David"/>
          <w:noProof w:val="0"/>
          <w:rtl/>
        </w:rPr>
      </w:pPr>
      <w:r w:rsidRPr="00F53C8C">
        <w:rPr>
          <w:rFonts w:ascii="David" w:eastAsia="Calibri" w:hAnsi="David"/>
          <w:noProof w:val="0"/>
          <w:rtl/>
        </w:rPr>
        <w:t>בנוגע להקמת יחידת הנעדרים העיד סגלוביץ:</w:t>
      </w:r>
    </w:p>
    <w:p w:rsidR="00F53C8C" w:rsidRPr="00F53C8C" w:rsidRDefault="00F53C8C" w:rsidP="005545A4">
      <w:pPr>
        <w:spacing w:after="160" w:line="360" w:lineRule="auto"/>
        <w:ind w:left="1077" w:right="993"/>
        <w:jc w:val="both"/>
        <w:rPr>
          <w:rFonts w:ascii="David" w:eastAsia="Calibri" w:hAnsi="David"/>
          <w:noProof w:val="0"/>
          <w:rtl/>
        </w:rPr>
      </w:pPr>
      <w:r w:rsidRPr="00F53C8C">
        <w:rPr>
          <w:rFonts w:ascii="David" w:eastAsia="Calibri" w:hAnsi="David"/>
          <w:b/>
          <w:bCs/>
          <w:noProof w:val="0"/>
          <w:rtl/>
        </w:rPr>
        <w:t>"ת: אני לאורך השנים בשירות, כמה נושאים בראש שאתה אומר פעם אני אולי אטפל כשתהיה לי היכולת לטפל, אחד מהם זה הנושא של נעדרים בראייה כוללת, לא נעדר ספציפי. אותו דבר לגבי אלמונים. יש שתי סוגיות שאם רואים את המספרים, לא זוכר אותם היום, יש הרבה מאוד נעדרים והרבה מאוד אלמונים. הם מטופלים ברמות שונות על ידי גופים שונים, ואף אחד לא מנסה לייצר איזשהו שכל כולל, ולחבר בין אלמונים לבין נעדרים"</w:t>
      </w:r>
      <w:r w:rsidRPr="00F53C8C">
        <w:rPr>
          <w:rFonts w:ascii="David" w:eastAsia="Calibri" w:hAnsi="David"/>
          <w:noProof w:val="0"/>
          <w:rtl/>
        </w:rPr>
        <w:t xml:space="preserve"> (עמ' 262 ש' 15-19).</w:t>
      </w:r>
    </w:p>
    <w:p w:rsidR="00F53C8C" w:rsidRPr="00F53C8C" w:rsidRDefault="005545A4" w:rsidP="0070652B">
      <w:pPr>
        <w:spacing w:after="160" w:line="360" w:lineRule="auto"/>
        <w:jc w:val="both"/>
        <w:rPr>
          <w:rFonts w:ascii="David" w:eastAsia="Calibri" w:hAnsi="David"/>
          <w:noProof w:val="0"/>
          <w:rtl/>
        </w:rPr>
      </w:pPr>
      <w:r w:rsidRPr="007265C0">
        <w:rPr>
          <w:rFonts w:ascii="David" w:eastAsia="Calibri" w:hAnsi="David" w:hint="cs"/>
          <w:noProof w:val="0"/>
          <w:rtl/>
        </w:rPr>
        <w:t>1</w:t>
      </w:r>
      <w:r w:rsidR="0070652B" w:rsidRPr="007265C0">
        <w:rPr>
          <w:rFonts w:ascii="David" w:eastAsia="Calibri" w:hAnsi="David" w:hint="cs"/>
          <w:noProof w:val="0"/>
          <w:rtl/>
        </w:rPr>
        <w:t>8</w:t>
      </w:r>
      <w:r w:rsidRPr="007265C0">
        <w:rPr>
          <w:rFonts w:ascii="David" w:eastAsia="Calibri" w:hAnsi="David" w:hint="cs"/>
          <w:noProof w:val="0"/>
          <w:rtl/>
        </w:rPr>
        <w:t>.</w:t>
      </w:r>
      <w:r w:rsidRPr="007265C0">
        <w:rPr>
          <w:rFonts w:ascii="David" w:eastAsia="Calibri" w:hAnsi="David" w:hint="cs"/>
          <w:noProof w:val="0"/>
          <w:rtl/>
        </w:rPr>
        <w:tab/>
      </w:r>
      <w:r w:rsidR="00F53C8C" w:rsidRPr="00F53C8C">
        <w:rPr>
          <w:rFonts w:ascii="David" w:eastAsia="Calibri" w:hAnsi="David"/>
          <w:noProof w:val="0"/>
          <w:rtl/>
        </w:rPr>
        <w:t xml:space="preserve">מעדותו של סגלוביץ עולה כי מדובר במהלך שנועד לחבר בין </w:t>
      </w:r>
      <w:r w:rsidRPr="007265C0">
        <w:rPr>
          <w:rFonts w:ascii="David" w:eastAsia="Calibri" w:hAnsi="David" w:hint="cs"/>
          <w:noProof w:val="0"/>
          <w:rtl/>
        </w:rPr>
        <w:t xml:space="preserve">סוגיית </w:t>
      </w:r>
      <w:r w:rsidRPr="00F53C8C">
        <w:rPr>
          <w:rFonts w:ascii="David" w:eastAsia="Calibri" w:hAnsi="David"/>
          <w:noProof w:val="0"/>
          <w:rtl/>
        </w:rPr>
        <w:t>הנעדרים ו</w:t>
      </w:r>
      <w:r w:rsidRPr="007265C0">
        <w:rPr>
          <w:rFonts w:ascii="David" w:eastAsia="Calibri" w:hAnsi="David" w:hint="cs"/>
          <w:noProof w:val="0"/>
          <w:rtl/>
        </w:rPr>
        <w:t xml:space="preserve">סוגיית </w:t>
      </w:r>
      <w:r w:rsidRPr="00F53C8C">
        <w:rPr>
          <w:rFonts w:ascii="David" w:eastAsia="Calibri" w:hAnsi="David"/>
          <w:noProof w:val="0"/>
          <w:rtl/>
        </w:rPr>
        <w:t>האלמונים</w:t>
      </w:r>
      <w:r w:rsidRPr="007265C0">
        <w:rPr>
          <w:rFonts w:ascii="David" w:eastAsia="Calibri" w:hAnsi="David"/>
          <w:noProof w:val="0"/>
          <w:rtl/>
        </w:rPr>
        <w:t xml:space="preserve"> </w:t>
      </w:r>
      <w:r w:rsidR="00F53C8C" w:rsidRPr="00F53C8C">
        <w:rPr>
          <w:rFonts w:ascii="David" w:eastAsia="Calibri" w:hAnsi="David"/>
          <w:noProof w:val="0"/>
          <w:rtl/>
        </w:rPr>
        <w:t>שתי סוגיות</w:t>
      </w:r>
      <w:r w:rsidRPr="007265C0">
        <w:rPr>
          <w:rFonts w:ascii="David" w:eastAsia="Calibri" w:hAnsi="David"/>
          <w:noProof w:val="0"/>
          <w:rtl/>
        </w:rPr>
        <w:t xml:space="preserve"> שונות שכל אחת מהן טופלה בנפרד</w:t>
      </w:r>
      <w:r w:rsidR="00F53C8C" w:rsidRPr="00F53C8C">
        <w:rPr>
          <w:rFonts w:ascii="David" w:eastAsia="Calibri" w:hAnsi="David"/>
          <w:noProof w:val="0"/>
          <w:rtl/>
        </w:rPr>
        <w:t xml:space="preserve">, וכן לאחד את הטיפול באלמונים, אשר התפזר בין גופים ממשלתיים שונים, ביניהם חברה קדישא, ביטוח לאומי, משרד הבריאות, המכון לרפואה משפטית ועוד (עמ' 262, 263). לדבריו הוא הטיל את הטיפול בנושא על היחידה הכלכלית שהוקמה על ידו, מאחר שליחידה היו "תפיסת עולם", נגישות וידע, וגם הרגישות והניסיון, לבצע את הפעילות המורכבת, שהצריכה תיאום בין גופים שונים, וגם פניה למשפחותיהם של נעדרים לצורך קבלת דגימות דנ"א (עמ' 263).  </w:t>
      </w:r>
    </w:p>
    <w:p w:rsidR="00F53C8C" w:rsidRPr="00F53C8C" w:rsidRDefault="00F53C8C" w:rsidP="005545A4">
      <w:pPr>
        <w:spacing w:after="160" w:line="360" w:lineRule="auto"/>
        <w:ind w:firstLine="720"/>
        <w:jc w:val="both"/>
        <w:rPr>
          <w:rFonts w:ascii="David" w:eastAsia="Calibri" w:hAnsi="David"/>
          <w:noProof w:val="0"/>
          <w:rtl/>
        </w:rPr>
      </w:pPr>
      <w:r w:rsidRPr="00F53C8C">
        <w:rPr>
          <w:rFonts w:ascii="David" w:eastAsia="Calibri" w:hAnsi="David"/>
          <w:noProof w:val="0"/>
          <w:rtl/>
        </w:rPr>
        <w:t>סגלוביץ הגדיר את הטיפול בנושא זה כ</w:t>
      </w:r>
      <w:r w:rsidRPr="00F53C8C">
        <w:rPr>
          <w:rFonts w:ascii="David" w:eastAsia="Calibri" w:hAnsi="David"/>
          <w:b/>
          <w:bCs/>
          <w:noProof w:val="0"/>
          <w:rtl/>
        </w:rPr>
        <w:t>"זכות גדולה"</w:t>
      </w:r>
      <w:r w:rsidRPr="00F53C8C">
        <w:rPr>
          <w:rFonts w:ascii="David" w:eastAsia="Calibri" w:hAnsi="David"/>
          <w:noProof w:val="0"/>
          <w:rtl/>
        </w:rPr>
        <w:t xml:space="preserve">, </w:t>
      </w:r>
      <w:r w:rsidRPr="00F53C8C">
        <w:rPr>
          <w:rFonts w:ascii="David" w:eastAsia="Calibri" w:hAnsi="David"/>
          <w:b/>
          <w:bCs/>
          <w:noProof w:val="0"/>
          <w:rtl/>
        </w:rPr>
        <w:t>"זה חשוב, מעבר לתפקיד שכל אחד מאיתנו עושה, אני בטוח שכל אחד מאיתנו עושה עוד דברים מעבר לתפקיד הספציפי שלו. הייתה לי את ההזדמנות לעשות את החיבור הזה, ולנסות לתת שם לאנשים שהם בלי שם..."</w:t>
      </w:r>
      <w:r w:rsidRPr="00F53C8C">
        <w:rPr>
          <w:rFonts w:ascii="David" w:eastAsia="Calibri" w:hAnsi="David"/>
          <w:noProof w:val="0"/>
          <w:rtl/>
        </w:rPr>
        <w:t xml:space="preserve"> (עמ' 263 </w:t>
      </w:r>
      <w:r w:rsidRPr="00F53C8C">
        <w:rPr>
          <w:rFonts w:ascii="David" w:eastAsia="Calibri" w:hAnsi="David"/>
          <w:noProof w:val="0"/>
          <w:rtl/>
        </w:rPr>
        <w:lastRenderedPageBreak/>
        <w:t xml:space="preserve">ש' 20 – עמ' 264 ש' 3). לדבריו, המשטרה אינה בהכרח </w:t>
      </w:r>
      <w:r w:rsidRPr="00F53C8C">
        <w:rPr>
          <w:rFonts w:ascii="David" w:eastAsia="Calibri" w:hAnsi="David"/>
          <w:b/>
          <w:bCs/>
          <w:noProof w:val="0"/>
          <w:rtl/>
        </w:rPr>
        <w:t>"המקום הטבעי"</w:t>
      </w:r>
      <w:r w:rsidRPr="00F53C8C">
        <w:rPr>
          <w:rFonts w:ascii="David" w:eastAsia="Calibri" w:hAnsi="David"/>
          <w:noProof w:val="0"/>
          <w:rtl/>
        </w:rPr>
        <w:t xml:space="preserve"> לטפל בנושא זה, אך מאחר שלא היה מי שטיפל בו, הוא החליט לפעול ולעשות מעשה (עמ' 264). </w:t>
      </w:r>
    </w:p>
    <w:p w:rsidR="005545A4" w:rsidRPr="007265C0" w:rsidRDefault="005545A4" w:rsidP="0070652B">
      <w:pPr>
        <w:spacing w:after="160" w:line="360" w:lineRule="auto"/>
        <w:jc w:val="both"/>
        <w:rPr>
          <w:rFonts w:ascii="David" w:eastAsia="Calibri" w:hAnsi="David"/>
          <w:b/>
          <w:bCs/>
          <w:noProof w:val="0"/>
          <w:rtl/>
        </w:rPr>
      </w:pPr>
      <w:r w:rsidRPr="007265C0">
        <w:rPr>
          <w:rFonts w:ascii="David" w:eastAsia="Calibri" w:hAnsi="David" w:hint="cs"/>
          <w:noProof w:val="0"/>
          <w:rtl/>
        </w:rPr>
        <w:t>1</w:t>
      </w:r>
      <w:r w:rsidR="0070652B" w:rsidRPr="007265C0">
        <w:rPr>
          <w:rFonts w:ascii="David" w:eastAsia="Calibri" w:hAnsi="David" w:hint="cs"/>
          <w:noProof w:val="0"/>
          <w:rtl/>
        </w:rPr>
        <w:t>9</w:t>
      </w:r>
      <w:r w:rsidRPr="007265C0">
        <w:rPr>
          <w:rFonts w:ascii="David" w:eastAsia="Calibri" w:hAnsi="David" w:hint="cs"/>
          <w:noProof w:val="0"/>
          <w:rtl/>
        </w:rPr>
        <w:t>.</w:t>
      </w:r>
      <w:r w:rsidRPr="007265C0">
        <w:rPr>
          <w:rFonts w:ascii="David" w:eastAsia="Calibri" w:hAnsi="David" w:hint="cs"/>
          <w:noProof w:val="0"/>
          <w:rtl/>
        </w:rPr>
        <w:tab/>
      </w:r>
      <w:r w:rsidR="00F53C8C" w:rsidRPr="00F53C8C">
        <w:rPr>
          <w:rFonts w:ascii="David" w:eastAsia="Calibri" w:hAnsi="David"/>
          <w:noProof w:val="0"/>
          <w:rtl/>
        </w:rPr>
        <w:t>עוד הוברר בעדות סגלוביץ כי מדובר היה בהקמת מאגר מידע שבו נכללו פרטים אודות נעדרים ואודות גופות אלמונים שנמצאו, על מנת לבדוק הצלבות אפשריות ביניהם. לדבריו הקמת המאגר העלתה שאלות שונות</w:t>
      </w:r>
      <w:r w:rsidR="00CD0632" w:rsidRPr="007265C0">
        <w:rPr>
          <w:rFonts w:ascii="David" w:eastAsia="Calibri" w:hAnsi="David" w:hint="cs"/>
          <w:b/>
          <w:bCs/>
          <w:noProof w:val="0"/>
          <w:rtl/>
        </w:rPr>
        <w:t>:</w:t>
      </w:r>
      <w:r w:rsidR="00F53C8C" w:rsidRPr="00F53C8C">
        <w:rPr>
          <w:rFonts w:ascii="David" w:eastAsia="Calibri" w:hAnsi="David"/>
          <w:b/>
          <w:bCs/>
          <w:noProof w:val="0"/>
          <w:rtl/>
        </w:rPr>
        <w:t xml:space="preserve"> </w:t>
      </w:r>
    </w:p>
    <w:p w:rsidR="00F53C8C" w:rsidRPr="00F53C8C" w:rsidRDefault="00F53C8C" w:rsidP="00CD0632">
      <w:pPr>
        <w:spacing w:after="160" w:line="360" w:lineRule="auto"/>
        <w:ind w:left="1077" w:right="993"/>
        <w:jc w:val="both"/>
        <w:rPr>
          <w:rFonts w:ascii="David" w:eastAsia="David" w:hAnsi="David"/>
          <w:noProof w:val="0"/>
          <w:rtl/>
        </w:rPr>
      </w:pPr>
      <w:r w:rsidRPr="00F53C8C">
        <w:rPr>
          <w:rFonts w:ascii="David" w:eastAsia="Calibri" w:hAnsi="David"/>
          <w:b/>
          <w:bCs/>
          <w:noProof w:val="0"/>
          <w:rtl/>
        </w:rPr>
        <w:t>"</w:t>
      </w:r>
      <w:r w:rsidRPr="00F53C8C">
        <w:rPr>
          <w:rFonts w:ascii="David" w:eastAsia="David" w:hAnsi="David"/>
          <w:b/>
          <w:bCs/>
          <w:noProof w:val="0"/>
          <w:rtl/>
        </w:rPr>
        <w:t>היו כמה סוגיות, חלקן משפטיות, כי בסוף זה לא המאגר הפלילי הרגיל, וכשאתה צריך לייצר מאגר, אתה צריך את כל המעטפת, כולל ההרשאות המשפטיות שצריך בעניין הזה. אני יודע שהיה מאגר, אני לא חושב שבתקופה שאני הייתי עדיין... לרשום אותו, אמרתי כן, אנחנו מתחילים בזה, עם בידול מכל יתר המאגרים המשטרתיים, באותה נקודת זמן..."</w:t>
      </w:r>
      <w:r w:rsidRPr="00F53C8C">
        <w:rPr>
          <w:rFonts w:ascii="David" w:eastAsia="David" w:hAnsi="David"/>
          <w:noProof w:val="0"/>
          <w:rtl/>
        </w:rPr>
        <w:t xml:space="preserve"> (עמ' 265 ש' 8-14). </w:t>
      </w:r>
    </w:p>
    <w:p w:rsidR="00F53C8C" w:rsidRPr="00F53C8C" w:rsidRDefault="0070652B" w:rsidP="00F53C8C">
      <w:pPr>
        <w:spacing w:after="160" w:line="360" w:lineRule="auto"/>
        <w:jc w:val="both"/>
        <w:rPr>
          <w:rFonts w:ascii="David" w:eastAsia="Calibri" w:hAnsi="David"/>
          <w:noProof w:val="0"/>
          <w:rtl/>
        </w:rPr>
      </w:pPr>
      <w:r w:rsidRPr="007265C0">
        <w:rPr>
          <w:rFonts w:ascii="David" w:eastAsia="David" w:hAnsi="David" w:hint="cs"/>
          <w:noProof w:val="0"/>
          <w:rtl/>
        </w:rPr>
        <w:t>20</w:t>
      </w:r>
      <w:r w:rsidR="00CD0632" w:rsidRPr="007265C0">
        <w:rPr>
          <w:rFonts w:ascii="David" w:eastAsia="David" w:hAnsi="David" w:hint="cs"/>
          <w:noProof w:val="0"/>
          <w:rtl/>
        </w:rPr>
        <w:t>.</w:t>
      </w:r>
      <w:r w:rsidR="00CD0632" w:rsidRPr="007265C0">
        <w:rPr>
          <w:rFonts w:ascii="David" w:eastAsia="David" w:hAnsi="David" w:hint="cs"/>
          <w:noProof w:val="0"/>
          <w:rtl/>
        </w:rPr>
        <w:tab/>
      </w:r>
      <w:r w:rsidR="00F53C8C" w:rsidRPr="00F53C8C">
        <w:rPr>
          <w:rFonts w:ascii="David" w:eastAsia="David" w:hAnsi="David"/>
          <w:noProof w:val="0"/>
          <w:rtl/>
        </w:rPr>
        <w:t xml:space="preserve">גם מטעם המאשימה הובאו מספר עדויות בנוגע לפעילות המשטרה לצורך איתור נעדרים. </w:t>
      </w:r>
    </w:p>
    <w:p w:rsidR="00F53C8C" w:rsidRPr="00F53C8C" w:rsidRDefault="00F53C8C" w:rsidP="00CD0632">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רפ"ק ערן אסרף המשרת בימ"ר ירושלים מונה בספטמבר 2020, בהיותו קצין צעיר, כראש הצח"מ שחקר את היעלמות המנוח ניסים שטרית. הוא ציין כי רובו של חומר החקירה נמצא אז בחוליית נעדרים (עמ' 54 ש' 2). </w:t>
      </w:r>
    </w:p>
    <w:p w:rsidR="00F53C8C" w:rsidRPr="00F53C8C" w:rsidRDefault="00F53C8C" w:rsidP="00CD0632">
      <w:pPr>
        <w:spacing w:after="160" w:line="360" w:lineRule="auto"/>
        <w:ind w:firstLine="720"/>
        <w:jc w:val="both"/>
        <w:rPr>
          <w:rFonts w:ascii="David" w:eastAsia="Calibri" w:hAnsi="David"/>
          <w:noProof w:val="0"/>
          <w:rtl/>
        </w:rPr>
      </w:pPr>
      <w:r w:rsidRPr="00F53C8C">
        <w:rPr>
          <w:rFonts w:ascii="David" w:eastAsia="Calibri" w:hAnsi="David"/>
          <w:noProof w:val="0"/>
          <w:rtl/>
        </w:rPr>
        <w:t>אסרף העיד גם בנוגע ליחס בין תיק החקירה המתנהל ביחידה החוקרת לבין התיק המתנהל בחוליית הנעדרים. הוא העיד כי בהתאם לנוהל משנת 2014, אם נפתח תיק נעדר כשההיעדרות מעוררת גם חשד לאירוע פלילי, נפתחים במקביל תיק נעדר המתנהל בחוליית נעדרים, ותיק פ"א המתנהל ביחידה החוקרת. בנוסף העיד לגבי נוהלי הגניזה של כל אחד מהתיקים (עמ' 56 ש' 27-33).</w:t>
      </w:r>
    </w:p>
    <w:p w:rsidR="00F53C8C" w:rsidRPr="00F53C8C" w:rsidRDefault="0070652B" w:rsidP="00CD0632">
      <w:pPr>
        <w:spacing w:after="160" w:line="360" w:lineRule="auto"/>
        <w:jc w:val="both"/>
        <w:rPr>
          <w:rFonts w:ascii="David" w:eastAsia="Calibri" w:hAnsi="David"/>
          <w:noProof w:val="0"/>
          <w:rtl/>
        </w:rPr>
      </w:pPr>
      <w:r w:rsidRPr="007265C0">
        <w:rPr>
          <w:rFonts w:ascii="David" w:eastAsia="Calibri" w:hAnsi="David" w:hint="cs"/>
          <w:noProof w:val="0"/>
          <w:rtl/>
        </w:rPr>
        <w:t>21</w:t>
      </w:r>
      <w:r w:rsidR="00CD0632" w:rsidRPr="007265C0">
        <w:rPr>
          <w:rFonts w:ascii="David" w:eastAsia="Calibri" w:hAnsi="David" w:hint="cs"/>
          <w:noProof w:val="0"/>
          <w:rtl/>
        </w:rPr>
        <w:t>.</w:t>
      </w:r>
      <w:r w:rsidR="00CD0632" w:rsidRPr="007265C0">
        <w:rPr>
          <w:rFonts w:ascii="David" w:eastAsia="Calibri" w:hAnsi="David" w:hint="cs"/>
          <w:noProof w:val="0"/>
          <w:rtl/>
        </w:rPr>
        <w:tab/>
      </w:r>
      <w:r w:rsidR="00F53C8C" w:rsidRPr="00F53C8C">
        <w:rPr>
          <w:rFonts w:ascii="David" w:eastAsia="Calibri" w:hAnsi="David"/>
          <w:noProof w:val="0"/>
          <w:rtl/>
        </w:rPr>
        <w:t>לגבי הממשק בין שני התיקים העיד אסרף (בעמ' 57 ש' 12-18):</w:t>
      </w:r>
    </w:p>
    <w:p w:rsidR="00F53C8C" w:rsidRPr="00F53C8C" w:rsidRDefault="00F53C8C" w:rsidP="00CD0632">
      <w:pPr>
        <w:spacing w:after="160" w:line="360" w:lineRule="auto"/>
        <w:ind w:left="1077" w:right="993"/>
        <w:jc w:val="both"/>
        <w:rPr>
          <w:rFonts w:ascii="David" w:eastAsia="Calibri" w:hAnsi="David"/>
          <w:b/>
          <w:bCs/>
          <w:noProof w:val="0"/>
          <w:rtl/>
        </w:rPr>
      </w:pPr>
      <w:r w:rsidRPr="00F53C8C">
        <w:rPr>
          <w:rFonts w:ascii="David" w:eastAsia="Calibri" w:hAnsi="David"/>
          <w:b/>
          <w:bCs/>
          <w:noProof w:val="0"/>
          <w:rtl/>
        </w:rPr>
        <w:t xml:space="preserve">"בעיקרון זה עניין של הפריה הדדית אם עולה משהו ככל שעולה אבל חוליית נעדרים תעשה יותר פעולות שנמצאות פעולות בשול כמו פרסום בתקשורת, זה יכול להיות בכלל אמצעי התקשורת, פניות למשרדי ממשלה, ביטוח לאומי, בתי חולים ובצד של ה-פ"א ייחקר יותר ההיבט הפלילי ככל שיעלה מידע כזה שאמור להיחקר. </w:t>
      </w:r>
    </w:p>
    <w:p w:rsidR="00F53C8C" w:rsidRPr="00F53C8C" w:rsidRDefault="00F53C8C" w:rsidP="00CD0632">
      <w:pPr>
        <w:spacing w:line="360" w:lineRule="auto"/>
        <w:ind w:left="1077" w:right="992"/>
        <w:jc w:val="both"/>
        <w:rPr>
          <w:rFonts w:ascii="David" w:eastAsia="Calibri" w:hAnsi="David"/>
          <w:b/>
          <w:bCs/>
          <w:noProof w:val="0"/>
          <w:rtl/>
        </w:rPr>
      </w:pPr>
      <w:r w:rsidRPr="00F53C8C">
        <w:rPr>
          <w:rFonts w:ascii="David" w:eastAsia="Calibri" w:hAnsi="David"/>
          <w:b/>
          <w:bCs/>
          <w:noProof w:val="0"/>
          <w:rtl/>
        </w:rPr>
        <w:t>ש. המערכות מזינות אחת את השנייה? הן נפרדות?</w:t>
      </w:r>
    </w:p>
    <w:p w:rsidR="00F53C8C" w:rsidRPr="00F53C8C" w:rsidRDefault="00F53C8C" w:rsidP="00CD0632">
      <w:pPr>
        <w:spacing w:line="360" w:lineRule="auto"/>
        <w:ind w:left="1077" w:right="992"/>
        <w:jc w:val="both"/>
        <w:rPr>
          <w:rFonts w:ascii="David" w:eastAsia="Calibri" w:hAnsi="David"/>
          <w:b/>
          <w:bCs/>
          <w:noProof w:val="0"/>
          <w:rtl/>
        </w:rPr>
      </w:pPr>
      <w:r w:rsidRPr="00F53C8C">
        <w:rPr>
          <w:rFonts w:ascii="David" w:eastAsia="Calibri" w:hAnsi="David"/>
          <w:b/>
          <w:bCs/>
          <w:noProof w:val="0"/>
          <w:rtl/>
        </w:rPr>
        <w:t>....</w:t>
      </w:r>
      <w:r w:rsidRPr="00F53C8C">
        <w:rPr>
          <w:rFonts w:ascii="David" w:eastAsia="Calibri" w:hAnsi="David"/>
          <w:b/>
          <w:bCs/>
          <w:noProof w:val="0"/>
          <w:rtl/>
        </w:rPr>
        <w:tab/>
      </w:r>
    </w:p>
    <w:p w:rsidR="00F53C8C" w:rsidRPr="00F53C8C" w:rsidRDefault="00F53C8C" w:rsidP="00CD0632">
      <w:pPr>
        <w:spacing w:after="160" w:line="360" w:lineRule="auto"/>
        <w:ind w:left="1077" w:right="993"/>
        <w:jc w:val="both"/>
        <w:rPr>
          <w:rFonts w:ascii="David" w:eastAsia="Calibri" w:hAnsi="David"/>
          <w:noProof w:val="0"/>
          <w:rtl/>
        </w:rPr>
      </w:pPr>
      <w:r w:rsidRPr="00F53C8C">
        <w:rPr>
          <w:rFonts w:ascii="David" w:eastAsia="Calibri" w:hAnsi="David"/>
          <w:b/>
          <w:bCs/>
          <w:noProof w:val="0"/>
          <w:rtl/>
        </w:rPr>
        <w:t>ת. לא מזינות אחת את השנייה אבל התיק בהגדרה שלו התיק נעדר הוא תיק משני לתיק הראשי</w:t>
      </w:r>
      <w:r w:rsidRPr="00F53C8C">
        <w:rPr>
          <w:rFonts w:ascii="David" w:eastAsia="Calibri" w:hAnsi="David"/>
          <w:noProof w:val="0"/>
          <w:rtl/>
        </w:rPr>
        <w:t>".</w:t>
      </w:r>
    </w:p>
    <w:p w:rsidR="00F53C8C" w:rsidRPr="00F53C8C" w:rsidRDefault="00F53C8C" w:rsidP="00CD0632">
      <w:pPr>
        <w:spacing w:after="160" w:line="360" w:lineRule="auto"/>
        <w:ind w:firstLine="720"/>
        <w:jc w:val="both"/>
        <w:rPr>
          <w:rFonts w:ascii="David" w:eastAsia="Calibri" w:hAnsi="David"/>
          <w:noProof w:val="0"/>
          <w:rtl/>
        </w:rPr>
      </w:pPr>
      <w:r w:rsidRPr="00F53C8C">
        <w:rPr>
          <w:rFonts w:ascii="David" w:eastAsia="Calibri" w:hAnsi="David"/>
          <w:noProof w:val="0"/>
          <w:rtl/>
        </w:rPr>
        <w:lastRenderedPageBreak/>
        <w:t>העד אישר כי חוקרי המשטרה סברו שהעבירות לא התיישנו על סמך הפעולות שבוצעו גם בחוליית הנעדרים (עמ' 57, 58).</w:t>
      </w:r>
    </w:p>
    <w:p w:rsidR="00F53C8C" w:rsidRPr="00F53C8C" w:rsidRDefault="00F53C8C" w:rsidP="00CD0632">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בחקירה הנגדית אישר </w:t>
      </w:r>
      <w:r w:rsidR="00CD0632" w:rsidRPr="007265C0">
        <w:rPr>
          <w:rFonts w:ascii="David" w:eastAsia="Calibri" w:hAnsi="David" w:hint="cs"/>
          <w:noProof w:val="0"/>
          <w:rtl/>
        </w:rPr>
        <w:t>אסרף</w:t>
      </w:r>
      <w:r w:rsidRPr="00F53C8C">
        <w:rPr>
          <w:rFonts w:ascii="David" w:eastAsia="Calibri" w:hAnsi="David"/>
          <w:noProof w:val="0"/>
          <w:rtl/>
        </w:rPr>
        <w:t xml:space="preserve"> כי הודעות ותלונות המוגשות למשטרה בנוגע לנעלמים, נגבות על ידי חוקרי משטרה, כך שגביית הודעה על ידי חוקר אינה מעידה בהכרח על כך שמדובר בחקירה פלילית (עמ' 77, 78). עוד אישר העד כי פעולות שונות של תשאול, בקשות להוצאת צווים וכדומה מבוצעות גם במקרים של חשד להיעלמות שאינו מעורר חשד לעבירות פליליות (עמ' 80, 81). </w:t>
      </w:r>
    </w:p>
    <w:p w:rsidR="00F53C8C" w:rsidRPr="00F53C8C" w:rsidRDefault="00CD0632" w:rsidP="0070652B">
      <w:pPr>
        <w:spacing w:after="160" w:line="360" w:lineRule="auto"/>
        <w:jc w:val="both"/>
        <w:rPr>
          <w:rFonts w:ascii="David" w:eastAsia="David" w:hAnsi="David"/>
          <w:noProof w:val="0"/>
          <w:u w:val="single"/>
          <w:rtl/>
        </w:rPr>
      </w:pPr>
      <w:r w:rsidRPr="007265C0">
        <w:rPr>
          <w:rFonts w:ascii="David" w:eastAsia="David" w:hAnsi="David" w:hint="cs"/>
          <w:noProof w:val="0"/>
          <w:rtl/>
        </w:rPr>
        <w:t>2</w:t>
      </w:r>
      <w:r w:rsidR="0070652B" w:rsidRPr="007265C0">
        <w:rPr>
          <w:rFonts w:ascii="David" w:eastAsia="David" w:hAnsi="David" w:hint="cs"/>
          <w:noProof w:val="0"/>
          <w:rtl/>
        </w:rPr>
        <w:t>2</w:t>
      </w:r>
      <w:r w:rsidRPr="007265C0">
        <w:rPr>
          <w:rFonts w:ascii="David" w:eastAsia="David" w:hAnsi="David" w:hint="cs"/>
          <w:noProof w:val="0"/>
          <w:rtl/>
        </w:rPr>
        <w:t>.</w:t>
      </w:r>
      <w:r w:rsidRPr="007265C0">
        <w:rPr>
          <w:rFonts w:ascii="David" w:eastAsia="David" w:hAnsi="David" w:hint="cs"/>
          <w:noProof w:val="0"/>
          <w:rtl/>
        </w:rPr>
        <w:tab/>
      </w:r>
      <w:r w:rsidR="00F53C8C" w:rsidRPr="00F53C8C">
        <w:rPr>
          <w:rFonts w:ascii="David" w:eastAsia="David" w:hAnsi="David"/>
          <w:noProof w:val="0"/>
          <w:rtl/>
        </w:rPr>
        <w:t xml:space="preserve">רפ"ק שגיא קדמון משמש היום כקצין נוער של מחוז מרכז במשטרת ישראל. הוא העיד כי בשנת 2010 בהיותו קצין ביאל"כ היה מעורב בניסיון לפנות לקרובי משפחה של נעדרים שהיו נעדרים במשך תקופה ארוכה, ולבקש מהם למסור דגימות דנ"א (עמ' 124). הוא הציג את מעורבותו בנושא כעניין טכני שהתבקש לבצע, מבלי שהיה מעורב בתוכן החקירה (עמ' 130). </w:t>
      </w:r>
    </w:p>
    <w:p w:rsidR="00F53C8C" w:rsidRPr="00F53C8C" w:rsidRDefault="00F53C8C" w:rsidP="00CD0632">
      <w:pPr>
        <w:spacing w:after="160" w:line="360" w:lineRule="auto"/>
        <w:ind w:firstLine="720"/>
        <w:jc w:val="both"/>
        <w:rPr>
          <w:rFonts w:ascii="David" w:eastAsia="David" w:hAnsi="David"/>
          <w:noProof w:val="0"/>
          <w:rtl/>
        </w:rPr>
      </w:pPr>
      <w:r w:rsidRPr="00F53C8C">
        <w:rPr>
          <w:rFonts w:ascii="David" w:eastAsia="David" w:hAnsi="David"/>
          <w:noProof w:val="0"/>
          <w:rtl/>
        </w:rPr>
        <w:t>המאשימה הגישה</w:t>
      </w:r>
      <w:r w:rsidR="00CD0632" w:rsidRPr="007265C0">
        <w:rPr>
          <w:rFonts w:ascii="David" w:eastAsia="David" w:hAnsi="David"/>
          <w:noProof w:val="0"/>
          <w:rtl/>
        </w:rPr>
        <w:t xml:space="preserve"> את מוצגים ת/3-ת/6, הודעות דוא</w:t>
      </w:r>
      <w:r w:rsidR="00CD0632" w:rsidRPr="007265C0">
        <w:rPr>
          <w:rFonts w:ascii="David" w:eastAsia="David" w:hAnsi="David" w:hint="cs"/>
          <w:noProof w:val="0"/>
          <w:rtl/>
        </w:rPr>
        <w:t>ר אלקטרוני</w:t>
      </w:r>
      <w:r w:rsidRPr="00F53C8C">
        <w:rPr>
          <w:rFonts w:ascii="David" w:eastAsia="David" w:hAnsi="David"/>
          <w:noProof w:val="0"/>
          <w:rtl/>
        </w:rPr>
        <w:t xml:space="preserve"> שנערכו על </w:t>
      </w:r>
      <w:r w:rsidR="00CD0632" w:rsidRPr="007265C0">
        <w:rPr>
          <w:rFonts w:ascii="David" w:eastAsia="David" w:hAnsi="David"/>
          <w:noProof w:val="0"/>
          <w:rtl/>
        </w:rPr>
        <w:t>ידי העד במהלך חודש נובמבר 2010</w:t>
      </w:r>
      <w:r w:rsidR="00CD0632" w:rsidRPr="007265C0">
        <w:rPr>
          <w:rFonts w:ascii="David" w:eastAsia="David" w:hAnsi="David" w:hint="cs"/>
          <w:noProof w:val="0"/>
          <w:rtl/>
        </w:rPr>
        <w:t>, ותוכנן מתואר בפסקה 10 לעיל. כל ההודעות עוסקות</w:t>
      </w:r>
      <w:r w:rsidRPr="00F53C8C">
        <w:rPr>
          <w:rFonts w:ascii="David" w:eastAsia="David" w:hAnsi="David"/>
          <w:noProof w:val="0"/>
          <w:rtl/>
        </w:rPr>
        <w:t xml:space="preserve"> עוסקים בשיחות שניהל </w:t>
      </w:r>
      <w:r w:rsidR="00CD0632" w:rsidRPr="007265C0">
        <w:rPr>
          <w:rFonts w:ascii="David" w:eastAsia="David" w:hAnsi="David" w:hint="cs"/>
          <w:noProof w:val="0"/>
          <w:rtl/>
        </w:rPr>
        <w:t xml:space="preserve">העד </w:t>
      </w:r>
      <w:r w:rsidRPr="00F53C8C">
        <w:rPr>
          <w:rFonts w:ascii="David" w:eastAsia="David" w:hAnsi="David"/>
          <w:noProof w:val="0"/>
          <w:rtl/>
        </w:rPr>
        <w:t>עם משפחת המנוח ומשפחתו של נעדר נוסף בנוגע לקבלת דגימות דנ"א. כל המסמכים חתומים על ידי העד בתוארו כ</w:t>
      </w:r>
      <w:r w:rsidR="00CD0632" w:rsidRPr="007265C0">
        <w:rPr>
          <w:rFonts w:ascii="David" w:eastAsia="David" w:hAnsi="David" w:hint="cs"/>
          <w:b/>
          <w:bCs/>
          <w:noProof w:val="0"/>
          <w:rtl/>
        </w:rPr>
        <w:t>"</w:t>
      </w:r>
      <w:r w:rsidRPr="00F53C8C">
        <w:rPr>
          <w:rFonts w:ascii="David" w:eastAsia="David" w:hAnsi="David"/>
          <w:b/>
          <w:bCs/>
          <w:noProof w:val="0"/>
          <w:rtl/>
        </w:rPr>
        <w:t>מפקח, ק. חקירות זרוע כללית, יאל"כ- להב 433</w:t>
      </w:r>
      <w:r w:rsidR="00CD0632" w:rsidRPr="007265C0">
        <w:rPr>
          <w:rFonts w:ascii="David" w:eastAsia="David" w:hAnsi="David" w:hint="cs"/>
          <w:b/>
          <w:bCs/>
          <w:noProof w:val="0"/>
          <w:rtl/>
        </w:rPr>
        <w:t>"</w:t>
      </w:r>
      <w:r w:rsidRPr="00F53C8C">
        <w:rPr>
          <w:rFonts w:ascii="David" w:eastAsia="David" w:hAnsi="David"/>
          <w:noProof w:val="0"/>
          <w:rtl/>
        </w:rPr>
        <w:t xml:space="preserve">. הם ממוענים אל </w:t>
      </w:r>
      <w:r w:rsidRPr="00F53C8C">
        <w:rPr>
          <w:rFonts w:ascii="David" w:eastAsia="David" w:hAnsi="David"/>
          <w:b/>
          <w:bCs/>
          <w:noProof w:val="0"/>
          <w:rtl/>
        </w:rPr>
        <w:t>"ראש מחלק פשיעה סער יאל"כ".</w:t>
      </w:r>
      <w:r w:rsidRPr="00F53C8C">
        <w:rPr>
          <w:rFonts w:ascii="David" w:eastAsia="David" w:hAnsi="David"/>
          <w:noProof w:val="0"/>
          <w:rtl/>
        </w:rPr>
        <w:t xml:space="preserve"> הנושא הרשום כנדון בהודעות אלו הוא "</w:t>
      </w:r>
      <w:r w:rsidRPr="00F53C8C">
        <w:rPr>
          <w:rFonts w:ascii="David" w:eastAsia="David" w:hAnsi="David"/>
          <w:b/>
          <w:bCs/>
          <w:noProof w:val="0"/>
          <w:rtl/>
        </w:rPr>
        <w:t>עדכון נעדרים</w:t>
      </w:r>
      <w:r w:rsidRPr="00F53C8C">
        <w:rPr>
          <w:rFonts w:ascii="David" w:eastAsia="David" w:hAnsi="David"/>
          <w:noProof w:val="0"/>
          <w:rtl/>
        </w:rPr>
        <w:t xml:space="preserve">" או שמותיהם של שני הנעדרים – יעקב קסלר וניסים שטרית. בכל המזכרים לא מופיע מספר או זיהוי של תיק חקירה. </w:t>
      </w:r>
    </w:p>
    <w:p w:rsidR="00F53C8C" w:rsidRPr="00F53C8C" w:rsidRDefault="00CC4965" w:rsidP="0070652B">
      <w:pPr>
        <w:spacing w:after="160" w:line="360" w:lineRule="auto"/>
        <w:jc w:val="both"/>
        <w:rPr>
          <w:rFonts w:ascii="David" w:eastAsia="David" w:hAnsi="David"/>
          <w:noProof w:val="0"/>
          <w:rtl/>
        </w:rPr>
      </w:pPr>
      <w:r w:rsidRPr="007265C0">
        <w:rPr>
          <w:rFonts w:ascii="David" w:eastAsia="David" w:hAnsi="David" w:hint="cs"/>
          <w:noProof w:val="0"/>
          <w:rtl/>
        </w:rPr>
        <w:t>2</w:t>
      </w:r>
      <w:r w:rsidR="0070652B" w:rsidRPr="007265C0">
        <w:rPr>
          <w:rFonts w:ascii="David" w:eastAsia="David" w:hAnsi="David" w:hint="cs"/>
          <w:noProof w:val="0"/>
          <w:rtl/>
        </w:rPr>
        <w:t>3</w:t>
      </w:r>
      <w:r w:rsidRPr="007265C0">
        <w:rPr>
          <w:rFonts w:ascii="David" w:eastAsia="David" w:hAnsi="David" w:hint="cs"/>
          <w:noProof w:val="0"/>
          <w:rtl/>
        </w:rPr>
        <w:t>.</w:t>
      </w:r>
      <w:r w:rsidRPr="007265C0">
        <w:rPr>
          <w:rFonts w:ascii="David" w:eastAsia="David" w:hAnsi="David" w:hint="cs"/>
          <w:noProof w:val="0"/>
          <w:rtl/>
        </w:rPr>
        <w:tab/>
      </w:r>
      <w:r w:rsidR="00F53C8C" w:rsidRPr="00F53C8C">
        <w:rPr>
          <w:rFonts w:ascii="David" w:eastAsia="David" w:hAnsi="David"/>
          <w:noProof w:val="0"/>
          <w:rtl/>
        </w:rPr>
        <w:t>העדה שרון אבישר (לשעבר שוקרון) היתה חוקרת ביחידה הכלכלית בלהב 433, העדה ליאת צצנה היתה חוקרת בחוליית הנעדרים, ושתיהן העידו בנוגע לפעולות שביצעו בשנת 2010 לצורך הקמת מאגר הנתונים לצורך זיהוי הנעדרים, כמתואר לעיל.</w:t>
      </w:r>
    </w:p>
    <w:p w:rsidR="00F53C8C" w:rsidRDefault="00CC4965" w:rsidP="0070652B">
      <w:pPr>
        <w:spacing w:after="160" w:line="360" w:lineRule="auto"/>
        <w:jc w:val="both"/>
        <w:rPr>
          <w:rFonts w:ascii="David" w:eastAsia="David" w:hAnsi="David"/>
          <w:noProof w:val="0"/>
          <w:rtl/>
        </w:rPr>
      </w:pPr>
      <w:r w:rsidRPr="007265C0">
        <w:rPr>
          <w:rFonts w:ascii="David" w:eastAsia="David" w:hAnsi="David" w:hint="cs"/>
          <w:noProof w:val="0"/>
          <w:rtl/>
        </w:rPr>
        <w:t>2</w:t>
      </w:r>
      <w:r w:rsidR="0070652B" w:rsidRPr="007265C0">
        <w:rPr>
          <w:rFonts w:ascii="David" w:eastAsia="David" w:hAnsi="David" w:hint="cs"/>
          <w:noProof w:val="0"/>
          <w:rtl/>
        </w:rPr>
        <w:t>4</w:t>
      </w:r>
      <w:r w:rsidRPr="007265C0">
        <w:rPr>
          <w:rFonts w:ascii="David" w:eastAsia="David" w:hAnsi="David" w:hint="cs"/>
          <w:noProof w:val="0"/>
          <w:rtl/>
        </w:rPr>
        <w:t>.</w:t>
      </w:r>
      <w:r w:rsidRPr="007265C0">
        <w:rPr>
          <w:rFonts w:ascii="David" w:eastAsia="David" w:hAnsi="David"/>
          <w:noProof w:val="0"/>
          <w:rtl/>
        </w:rPr>
        <w:tab/>
      </w:r>
      <w:r w:rsidR="00F53C8C" w:rsidRPr="00F53C8C">
        <w:rPr>
          <w:rFonts w:ascii="David" w:eastAsia="David" w:hAnsi="David"/>
          <w:noProof w:val="0"/>
          <w:rtl/>
        </w:rPr>
        <w:t>מהעדויות עולה, איפוא, כי במהלך כהונתו של סגלוביץ הוא יזם מהלך של הקמת מאגר מידע המאחד בין הנתונים הקיימים במשטרה בנוגע לנעדרים</w:t>
      </w:r>
      <w:r w:rsidR="00F6300C" w:rsidRPr="007265C0">
        <w:rPr>
          <w:rFonts w:ascii="David" w:eastAsia="David" w:hAnsi="David" w:hint="cs"/>
          <w:noProof w:val="0"/>
          <w:rtl/>
        </w:rPr>
        <w:t>,</w:t>
      </w:r>
      <w:r w:rsidR="00F53C8C" w:rsidRPr="00F53C8C">
        <w:rPr>
          <w:rFonts w:ascii="David" w:eastAsia="David" w:hAnsi="David"/>
          <w:noProof w:val="0"/>
          <w:rtl/>
        </w:rPr>
        <w:t xml:space="preserve"> לבין נתונים שנאספו בנוגע לגופות אלמונים שנמצאו, במטרה לאפשר הצלבה בין השניים. בהקמת המאגר המשטרה קיבלה על עצמה, למעשה, לבצע תפקידים שאינם מתפקידיה המרכזיים של המשטרה, וקודם לכן היו מפוזרים בין משרדי ממשלה וגופים שונים. סגלוביץ לא ראה </w:t>
      </w:r>
      <w:r w:rsidR="00F6300C" w:rsidRPr="007265C0">
        <w:rPr>
          <w:rFonts w:ascii="David" w:eastAsia="David" w:hAnsi="David" w:hint="cs"/>
          <w:noProof w:val="0"/>
          <w:rtl/>
        </w:rPr>
        <w:t xml:space="preserve">את הפעולה כמצויה במובהק </w:t>
      </w:r>
      <w:r w:rsidR="00F53C8C" w:rsidRPr="00F53C8C">
        <w:rPr>
          <w:rFonts w:ascii="David" w:eastAsia="David" w:hAnsi="David"/>
          <w:noProof w:val="0"/>
          <w:rtl/>
        </w:rPr>
        <w:t>במסגרת תפקידו כראש אגף חקירות ומודיעין. עוד עלה מהראיות כי מאגר המידע המשמש לצורך איתור נעדרים הוא מאגר ע</w:t>
      </w:r>
      <w:r w:rsidR="00F6300C" w:rsidRPr="007265C0">
        <w:rPr>
          <w:rFonts w:ascii="David" w:eastAsia="David" w:hAnsi="David"/>
          <w:noProof w:val="0"/>
          <w:rtl/>
        </w:rPr>
        <w:t>צמאי ופועל בנפרד מהמאגר המשטרתי</w:t>
      </w:r>
      <w:r w:rsidR="00F6300C" w:rsidRPr="007265C0">
        <w:rPr>
          <w:rFonts w:ascii="David" w:eastAsia="David" w:hAnsi="David" w:hint="cs"/>
          <w:noProof w:val="0"/>
          <w:rtl/>
        </w:rPr>
        <w:t>, כאשר</w:t>
      </w:r>
      <w:r w:rsidR="00F53C8C" w:rsidRPr="00F53C8C">
        <w:rPr>
          <w:rFonts w:ascii="David" w:eastAsia="David" w:hAnsi="David"/>
          <w:noProof w:val="0"/>
          <w:rtl/>
        </w:rPr>
        <w:t xml:space="preserve"> במקרים של היעדרות שבהם מתעורר חשד לביצוע עבירות פליליות נפתח תיק חק</w:t>
      </w:r>
      <w:r w:rsidR="007265C0">
        <w:rPr>
          <w:rFonts w:ascii="David" w:eastAsia="David" w:hAnsi="David"/>
          <w:noProof w:val="0"/>
          <w:rtl/>
        </w:rPr>
        <w:t>ירה בנוסף ובנפרד מתיק ההיעדרות</w:t>
      </w:r>
      <w:r w:rsidR="007265C0">
        <w:rPr>
          <w:rFonts w:ascii="David" w:eastAsia="David" w:hAnsi="David" w:hint="cs"/>
          <w:noProof w:val="0"/>
          <w:rtl/>
        </w:rPr>
        <w:t>.</w:t>
      </w:r>
    </w:p>
    <w:p w:rsidR="007265C0" w:rsidRDefault="007265C0" w:rsidP="0070652B">
      <w:pPr>
        <w:spacing w:after="160" w:line="360" w:lineRule="auto"/>
        <w:jc w:val="both"/>
        <w:rPr>
          <w:rFonts w:ascii="David" w:eastAsia="David" w:hAnsi="David"/>
          <w:noProof w:val="0"/>
          <w:rtl/>
        </w:rPr>
      </w:pPr>
    </w:p>
    <w:p w:rsidR="007265C0" w:rsidRPr="007265C0" w:rsidRDefault="007265C0" w:rsidP="0070652B">
      <w:pPr>
        <w:spacing w:after="160" w:line="360" w:lineRule="auto"/>
        <w:jc w:val="both"/>
        <w:rPr>
          <w:rFonts w:ascii="David" w:eastAsia="David" w:hAnsi="David"/>
          <w:noProof w:val="0"/>
          <w:rtl/>
        </w:rPr>
      </w:pPr>
    </w:p>
    <w:p w:rsidR="00CC4965" w:rsidRPr="007265C0" w:rsidRDefault="0070652B" w:rsidP="00CC4965">
      <w:pPr>
        <w:spacing w:after="160" w:line="360" w:lineRule="auto"/>
        <w:jc w:val="both"/>
        <w:rPr>
          <w:rFonts w:ascii="David" w:eastAsia="David" w:hAnsi="David"/>
          <w:b/>
          <w:bCs/>
          <w:noProof w:val="0"/>
          <w:rtl/>
        </w:rPr>
      </w:pPr>
      <w:r w:rsidRPr="007265C0">
        <w:rPr>
          <w:rFonts w:ascii="David" w:eastAsia="David" w:hAnsi="David" w:hint="cs"/>
          <w:b/>
          <w:bCs/>
          <w:noProof w:val="0"/>
          <w:rtl/>
        </w:rPr>
        <w:lastRenderedPageBreak/>
        <w:t>עקרונות הפרשנות</w:t>
      </w:r>
    </w:p>
    <w:p w:rsidR="00F53C8C" w:rsidRPr="00F53C8C" w:rsidRDefault="0070652B" w:rsidP="00F53C8C">
      <w:pPr>
        <w:spacing w:after="160" w:line="360" w:lineRule="auto"/>
        <w:jc w:val="both"/>
        <w:rPr>
          <w:rFonts w:ascii="David" w:eastAsia="Calibri" w:hAnsi="David"/>
          <w:noProof w:val="0"/>
          <w:rtl/>
        </w:rPr>
      </w:pPr>
      <w:r w:rsidRPr="007265C0">
        <w:rPr>
          <w:rFonts w:ascii="David" w:eastAsia="Calibri" w:hAnsi="David" w:hint="cs"/>
          <w:noProof w:val="0"/>
          <w:rtl/>
        </w:rPr>
        <w:t>25.</w:t>
      </w:r>
      <w:r w:rsidRPr="007265C0">
        <w:rPr>
          <w:rFonts w:ascii="David" w:eastAsia="Calibri" w:hAnsi="David" w:hint="cs"/>
          <w:noProof w:val="0"/>
          <w:rtl/>
        </w:rPr>
        <w:tab/>
      </w:r>
      <w:r w:rsidR="00F53C8C" w:rsidRPr="00F53C8C">
        <w:rPr>
          <w:rFonts w:ascii="David" w:eastAsia="Calibri" w:hAnsi="David"/>
          <w:noProof w:val="0"/>
          <w:rtl/>
        </w:rPr>
        <w:t xml:space="preserve">המאשימה ביקשה לפרש בהרחבה את המונח 'פעולות חקירה' בהקשר זה של עצירת מירוץ ההתיישנות, וזאת בשים לב לתיקון 87 לחסד"פ הנזכר, שקבע כי אין עוד התיישנות על עבירת הרצח המעוגנת בסעיף 300 לחוק העונשין, היא העבירה המיוחסת לנאשם. לשיטתה על אף שהתיקון אינו חל על מקרה זה, יש לפרש את הוראות החוק עובר לתיקון לאור התיקון, המבקש לצמצם את תחולת ההתיישנות. </w:t>
      </w:r>
    </w:p>
    <w:p w:rsidR="0070652B" w:rsidRPr="007265C0" w:rsidRDefault="00F53C8C" w:rsidP="0070652B">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איננו סבורים כך. אכן, ככלל, גם בהעדר תחולה ישירה, עשוי דבר חקיקה להשרות מרוחו הנורמטיבית ומהתכליות שבבסיסו על חיקוקים שעמדו בתוקף קודם לו וחולשים על המקרה העומד לבחינה (ראו: עניין </w:t>
      </w:r>
      <w:r w:rsidRPr="00F53C8C">
        <w:rPr>
          <w:rFonts w:ascii="David" w:eastAsia="Calibri" w:hAnsi="David"/>
          <w:b/>
          <w:bCs/>
          <w:noProof w:val="0"/>
          <w:rtl/>
        </w:rPr>
        <w:t>פלוני</w:t>
      </w:r>
      <w:r w:rsidRPr="00F53C8C">
        <w:rPr>
          <w:rFonts w:ascii="David" w:eastAsia="Calibri" w:hAnsi="David"/>
          <w:noProof w:val="0"/>
          <w:rtl/>
        </w:rPr>
        <w:t xml:space="preserve">; דנ"פ 2316/93 </w:t>
      </w:r>
      <w:r w:rsidRPr="00F53C8C">
        <w:rPr>
          <w:rFonts w:ascii="David" w:eastAsia="Calibri" w:hAnsi="David"/>
          <w:b/>
          <w:bCs/>
          <w:noProof w:val="0"/>
          <w:rtl/>
        </w:rPr>
        <w:t>ויכסלבאום נ' שר הביטחון</w:t>
      </w:r>
      <w:r w:rsidRPr="00F53C8C">
        <w:rPr>
          <w:rFonts w:ascii="David" w:eastAsia="Calibri" w:hAnsi="David"/>
          <w:noProof w:val="0"/>
          <w:rtl/>
        </w:rPr>
        <w:t xml:space="preserve">, פ"ד מט(2) 195 (1995)). </w:t>
      </w:r>
    </w:p>
    <w:p w:rsidR="00F53C8C" w:rsidRPr="00F53C8C" w:rsidRDefault="00F53C8C" w:rsidP="0070652B">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אולם במקרה זה, בהסדר החקיקתי החדש, בו אין כלל התיישנות לעבירת הרצח, אין רלוונטיות לשאלה אם בוצעו פעולות חקירה המפסיקות את מירוץ ההתיישנות, שכן מירוץ זה כלל אינו מופסק. המחוקק מצא לנכון לקבוע כי תיקון החוק לא יחול רטרואקטיבית, ומשכך נעשה, אין מקום להחלת התיקון לחוק בענייננו "בדלת האחורית" בדרך של פרשנות מרחיבה לפעולות חקירה. </w:t>
      </w:r>
    </w:p>
    <w:p w:rsidR="00F53C8C" w:rsidRPr="00F53C8C" w:rsidRDefault="007F518A" w:rsidP="003C28B4">
      <w:pPr>
        <w:spacing w:after="160" w:line="360" w:lineRule="auto"/>
        <w:jc w:val="both"/>
        <w:rPr>
          <w:rFonts w:ascii="David" w:eastAsia="Calibri" w:hAnsi="David"/>
          <w:noProof w:val="0"/>
          <w:rtl/>
        </w:rPr>
      </w:pPr>
      <w:r w:rsidRPr="007265C0">
        <w:rPr>
          <w:rFonts w:ascii="David" w:eastAsia="Calibri" w:hAnsi="David" w:hint="cs"/>
          <w:noProof w:val="0"/>
          <w:rtl/>
        </w:rPr>
        <w:t>26.</w:t>
      </w:r>
      <w:r w:rsidRPr="007265C0">
        <w:rPr>
          <w:rFonts w:ascii="David" w:eastAsia="Calibri" w:hAnsi="David" w:hint="cs"/>
          <w:noProof w:val="0"/>
          <w:rtl/>
        </w:rPr>
        <w:tab/>
      </w:r>
      <w:r w:rsidR="00F53C8C" w:rsidRPr="00F53C8C">
        <w:rPr>
          <w:rFonts w:ascii="David" w:eastAsia="Calibri" w:hAnsi="David"/>
          <w:noProof w:val="0"/>
          <w:rtl/>
        </w:rPr>
        <w:t xml:space="preserve">זאת ועוד, הביטוי "פעולת חקירה" הוא אבן יסוד בדין הפלילי, ויש לשאוף לפרשו באופן אחיד בהקשרים השונים. לא יהיה זה נכון לפרש את המושג, בהתאם למטרה אותה מבוקש להשיג במקרה הספציפי. </w:t>
      </w:r>
    </w:p>
    <w:p w:rsidR="00F53C8C" w:rsidRPr="00F53C8C" w:rsidRDefault="007F518A" w:rsidP="00F53C8C">
      <w:pPr>
        <w:spacing w:after="160" w:line="360" w:lineRule="auto"/>
        <w:jc w:val="both"/>
        <w:rPr>
          <w:rFonts w:ascii="David" w:eastAsia="Calibri" w:hAnsi="David"/>
          <w:noProof w:val="0"/>
          <w:rtl/>
        </w:rPr>
      </w:pPr>
      <w:r w:rsidRPr="007265C0">
        <w:rPr>
          <w:rFonts w:ascii="David" w:eastAsia="Calibri" w:hAnsi="David" w:hint="cs"/>
          <w:noProof w:val="0"/>
          <w:rtl/>
        </w:rPr>
        <w:t>27.</w:t>
      </w:r>
      <w:r w:rsidRPr="007265C0">
        <w:rPr>
          <w:rFonts w:ascii="David" w:eastAsia="Calibri" w:hAnsi="David" w:hint="cs"/>
          <w:noProof w:val="0"/>
          <w:rtl/>
        </w:rPr>
        <w:tab/>
      </w:r>
      <w:r w:rsidR="00F53C8C" w:rsidRPr="00F53C8C">
        <w:rPr>
          <w:rFonts w:ascii="David" w:eastAsia="Calibri" w:hAnsi="David"/>
          <w:noProof w:val="0"/>
          <w:rtl/>
        </w:rPr>
        <w:t>יתר על כן, עוד טרם תיקון החוק בעניין ההתיישנות ננקטה בפסיקה פרשנות מצמצמת לפעולות חקירה הקוטעות את מירוץ ההתיישנות:</w:t>
      </w:r>
    </w:p>
    <w:p w:rsidR="00F53C8C" w:rsidRPr="00F53C8C" w:rsidRDefault="00F53C8C" w:rsidP="007F518A">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בענין </w:t>
      </w:r>
      <w:r w:rsidRPr="00F53C8C">
        <w:rPr>
          <w:rFonts w:ascii="David" w:eastAsia="Calibri" w:hAnsi="David"/>
          <w:b/>
          <w:bCs/>
          <w:noProof w:val="0"/>
          <w:rtl/>
        </w:rPr>
        <w:t>מונדרוביץ</w:t>
      </w:r>
      <w:r w:rsidR="007F518A" w:rsidRPr="007265C0">
        <w:rPr>
          <w:rFonts w:ascii="David" w:eastAsia="Calibri" w:hAnsi="David" w:hint="cs"/>
          <w:b/>
          <w:bCs/>
          <w:noProof w:val="0"/>
          <w:rtl/>
        </w:rPr>
        <w:t xml:space="preserve"> </w:t>
      </w:r>
      <w:r w:rsidR="007F518A" w:rsidRPr="007265C0">
        <w:rPr>
          <w:rFonts w:ascii="David" w:eastAsia="Calibri" w:hAnsi="David" w:hint="cs"/>
          <w:noProof w:val="0"/>
          <w:rtl/>
        </w:rPr>
        <w:t>הנ"ל</w:t>
      </w:r>
      <w:r w:rsidRPr="00F53C8C">
        <w:rPr>
          <w:rFonts w:ascii="David" w:eastAsia="Calibri" w:hAnsi="David"/>
          <w:noProof w:val="0"/>
          <w:rtl/>
        </w:rPr>
        <w:t xml:space="preserve"> נפסק כי </w:t>
      </w:r>
    </w:p>
    <w:p w:rsidR="00F53C8C" w:rsidRPr="00F53C8C" w:rsidRDefault="00F53C8C" w:rsidP="007F518A">
      <w:pPr>
        <w:spacing w:after="160" w:line="360" w:lineRule="auto"/>
        <w:ind w:left="1077" w:right="993"/>
        <w:jc w:val="both"/>
        <w:rPr>
          <w:rFonts w:ascii="David" w:eastAsia="Calibri" w:hAnsi="David"/>
          <w:noProof w:val="0"/>
          <w:rtl/>
        </w:rPr>
      </w:pPr>
      <w:r w:rsidRPr="00F53C8C">
        <w:rPr>
          <w:rFonts w:ascii="David" w:eastAsia="Calibri" w:hAnsi="David"/>
          <w:b/>
          <w:bCs/>
          <w:noProof w:val="0"/>
          <w:rtl/>
        </w:rPr>
        <w:t>"התיישנות בפלילים היא אחת מזכויותיו הדיוניות החשובות של הנאשם במסגרת זכותו החוקתית לחירות", ולפיכך עליה "להיות מידתית, ומיועדת לתכלית ראויה. הפרשנות בשאלת התקיימותם הקונקרטית של אירועים מנתקי – התיישנות היא זהירה ומוטה לצמצום, לאור הקרנתם על זכותו היסודית של נאשם לחירות. נטל הוכחת התקיימותם של אירועים כאלה מוטל על התביעה, וספק בעניין זה פועל לטובת הנאשם".</w:t>
      </w:r>
      <w:r w:rsidRPr="00F53C8C">
        <w:rPr>
          <w:rFonts w:ascii="David" w:eastAsia="Calibri" w:hAnsi="David"/>
          <w:noProof w:val="0"/>
          <w:rtl/>
        </w:rPr>
        <w:t xml:space="preserve"> (פסק</w:t>
      </w:r>
      <w:r w:rsidR="007F518A" w:rsidRPr="007265C0">
        <w:rPr>
          <w:rFonts w:ascii="David" w:eastAsia="Calibri" w:hAnsi="David" w:hint="cs"/>
          <w:noProof w:val="0"/>
          <w:rtl/>
        </w:rPr>
        <w:t>א</w:t>
      </w:r>
      <w:r w:rsidRPr="00F53C8C">
        <w:rPr>
          <w:rFonts w:ascii="David" w:eastAsia="Calibri" w:hAnsi="David"/>
          <w:noProof w:val="0"/>
          <w:rtl/>
        </w:rPr>
        <w:t xml:space="preserve">ות 72, 75). </w:t>
      </w:r>
    </w:p>
    <w:p w:rsidR="00F53C8C" w:rsidRPr="00F53C8C" w:rsidRDefault="00F53C8C" w:rsidP="007F518A">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גם בעניין </w:t>
      </w:r>
      <w:r w:rsidRPr="00F53C8C">
        <w:rPr>
          <w:rFonts w:ascii="David" w:eastAsia="Calibri" w:hAnsi="David"/>
          <w:b/>
          <w:bCs/>
          <w:noProof w:val="0"/>
          <w:rtl/>
        </w:rPr>
        <w:t xml:space="preserve">קרן </w:t>
      </w:r>
      <w:r w:rsidRPr="00F53C8C">
        <w:rPr>
          <w:rFonts w:ascii="David" w:eastAsia="Calibri" w:hAnsi="David"/>
          <w:noProof w:val="0"/>
          <w:rtl/>
        </w:rPr>
        <w:t xml:space="preserve">עמד בית המשפט על </w:t>
      </w:r>
      <w:r w:rsidRPr="00F53C8C">
        <w:rPr>
          <w:rFonts w:ascii="David" w:eastAsia="Calibri" w:hAnsi="David"/>
          <w:b/>
          <w:bCs/>
          <w:noProof w:val="0"/>
          <w:rtl/>
        </w:rPr>
        <w:t xml:space="preserve">"הצורך לפרש בצמצום את המונח 'פעולות חקירה' בהקשר של קטיעת מירוץ ההתיישנות" </w:t>
      </w:r>
      <w:r w:rsidRPr="00F53C8C">
        <w:rPr>
          <w:rFonts w:ascii="David" w:eastAsia="Calibri" w:hAnsi="David"/>
          <w:noProof w:val="0"/>
          <w:rtl/>
        </w:rPr>
        <w:t xml:space="preserve">(פסקאות 25 ו- 62). </w:t>
      </w:r>
    </w:p>
    <w:p w:rsidR="00433D31" w:rsidRPr="007265C0" w:rsidRDefault="00433D31" w:rsidP="00433D31">
      <w:pPr>
        <w:spacing w:after="160" w:line="360" w:lineRule="auto"/>
        <w:jc w:val="both"/>
        <w:rPr>
          <w:rFonts w:ascii="David" w:eastAsia="Calibri" w:hAnsi="David"/>
          <w:noProof w:val="0"/>
          <w:rtl/>
        </w:rPr>
      </w:pPr>
    </w:p>
    <w:p w:rsidR="00F53C8C" w:rsidRPr="00F53C8C" w:rsidRDefault="00433D31" w:rsidP="00433D31">
      <w:pPr>
        <w:spacing w:after="160" w:line="360" w:lineRule="auto"/>
        <w:jc w:val="both"/>
        <w:rPr>
          <w:rFonts w:ascii="David" w:eastAsia="Calibri" w:hAnsi="David"/>
          <w:b/>
          <w:bCs/>
          <w:noProof w:val="0"/>
          <w:u w:val="single"/>
          <w:rtl/>
        </w:rPr>
      </w:pPr>
      <w:r w:rsidRPr="007265C0">
        <w:rPr>
          <w:rFonts w:ascii="David" w:eastAsia="Calibri" w:hAnsi="David" w:hint="cs"/>
          <w:b/>
          <w:bCs/>
          <w:noProof w:val="0"/>
          <w:u w:val="single"/>
          <w:rtl/>
        </w:rPr>
        <w:lastRenderedPageBreak/>
        <w:t>סיכום ומסקנות</w:t>
      </w:r>
    </w:p>
    <w:p w:rsidR="00F53C8C" w:rsidRPr="00F53C8C" w:rsidRDefault="00433D31" w:rsidP="00433D31">
      <w:pPr>
        <w:spacing w:after="160" w:line="360" w:lineRule="auto"/>
        <w:jc w:val="both"/>
        <w:rPr>
          <w:rFonts w:ascii="David" w:eastAsia="Calibri" w:hAnsi="David"/>
          <w:strike/>
          <w:noProof w:val="0"/>
          <w:rtl/>
        </w:rPr>
      </w:pPr>
      <w:r w:rsidRPr="007265C0">
        <w:rPr>
          <w:rFonts w:ascii="David" w:eastAsia="Calibri" w:hAnsi="David" w:hint="cs"/>
          <w:noProof w:val="0"/>
          <w:rtl/>
        </w:rPr>
        <w:t>28.</w:t>
      </w:r>
      <w:r w:rsidRPr="007265C0">
        <w:rPr>
          <w:rFonts w:ascii="David" w:eastAsia="Calibri" w:hAnsi="David" w:hint="cs"/>
          <w:noProof w:val="0"/>
          <w:rtl/>
        </w:rPr>
        <w:tab/>
      </w:r>
      <w:r w:rsidR="00F53C8C" w:rsidRPr="00F53C8C">
        <w:rPr>
          <w:rFonts w:ascii="David" w:eastAsia="Calibri" w:hAnsi="David"/>
          <w:noProof w:val="0"/>
          <w:rtl/>
        </w:rPr>
        <w:t xml:space="preserve">כאמור, ניצב בדימוס סגלוביץ העיד כי מטרת פרוייקט הנעדרים היתה בעיקרה מוסרית, הומניסטית, ניסיון </w:t>
      </w:r>
      <w:r w:rsidR="00F53C8C" w:rsidRPr="00F53C8C">
        <w:rPr>
          <w:rFonts w:ascii="David" w:eastAsia="Calibri" w:hAnsi="David"/>
          <w:b/>
          <w:bCs/>
          <w:noProof w:val="0"/>
          <w:rtl/>
        </w:rPr>
        <w:t>"לתת שם לאנשים שהם בלי שם</w:t>
      </w:r>
      <w:r w:rsidR="00F53C8C" w:rsidRPr="00F53C8C">
        <w:rPr>
          <w:rFonts w:ascii="David" w:eastAsia="Calibri" w:hAnsi="David"/>
          <w:noProof w:val="0"/>
          <w:rtl/>
        </w:rPr>
        <w:t xml:space="preserve">". סגלוביץ התייחס לפרוייקט זה כמימוש חזון שעליו חשב במשך שנים, וראה באפשרות ליישם אותו זכות שניתנה בידו. תיאורים אלו מעידים כי מדובר בעיסוק שאינו בליבת תפקידה של המשטרה דווקא, שטופל בעבר על ידי גורמים ממלכתיים שונים, כאשר סגלוביץ עצמו לא ראה באיתור נעדרים פעולה חקירתית. </w:t>
      </w:r>
    </w:p>
    <w:p w:rsidR="00F53C8C" w:rsidRPr="00F53C8C" w:rsidRDefault="00F53C8C" w:rsidP="007F518A">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רפ"ק ערן אסרף העיד כי תיק החקירה ותיק הנעדרים מתנהלים במקביל, וכי מדובר בשני תיקים נפרדים, גם אם קיימת ביניהם </w:t>
      </w:r>
      <w:r w:rsidRPr="00F53C8C">
        <w:rPr>
          <w:rFonts w:ascii="David" w:eastAsia="Calibri" w:hAnsi="David"/>
          <w:b/>
          <w:bCs/>
          <w:noProof w:val="0"/>
          <w:rtl/>
        </w:rPr>
        <w:t>"הפריה הדדית"</w:t>
      </w:r>
      <w:r w:rsidRPr="00F53C8C">
        <w:rPr>
          <w:rFonts w:ascii="David" w:eastAsia="Calibri" w:hAnsi="David"/>
          <w:noProof w:val="0"/>
          <w:rtl/>
        </w:rPr>
        <w:t xml:space="preserve">. מעדותו שלו, כמו גם מעדות סגלוביץ, עולה כי חקירות נעדרים בוצעו באופן שגרתי על ידי חוקרי משטרה, כך שהעובדה שפעולות שונות בוצעו על ידי העדים שהעידו אינה מצביעה על כך שמדובר בפעולות חקירה לצורך קידום החקירה הפלילית ולהגשמת המטרה של גילוי עבירות, תפיסת עבריינים והבאתם לדין. </w:t>
      </w:r>
    </w:p>
    <w:p w:rsidR="00F53C8C" w:rsidRPr="00F53C8C" w:rsidRDefault="00D456BC" w:rsidP="00D456BC">
      <w:pPr>
        <w:spacing w:after="160" w:line="360" w:lineRule="auto"/>
        <w:jc w:val="both"/>
        <w:rPr>
          <w:rFonts w:ascii="David" w:eastAsia="Calibri" w:hAnsi="David"/>
          <w:noProof w:val="0"/>
          <w:rtl/>
        </w:rPr>
      </w:pPr>
      <w:r w:rsidRPr="007265C0">
        <w:rPr>
          <w:rFonts w:ascii="David" w:eastAsia="Calibri" w:hAnsi="David" w:hint="cs"/>
          <w:noProof w:val="0"/>
          <w:rtl/>
        </w:rPr>
        <w:t>29.</w:t>
      </w:r>
      <w:r w:rsidRPr="007265C0">
        <w:rPr>
          <w:rFonts w:ascii="David" w:eastAsia="Calibri" w:hAnsi="David" w:hint="cs"/>
          <w:noProof w:val="0"/>
          <w:rtl/>
        </w:rPr>
        <w:tab/>
      </w:r>
      <w:r w:rsidR="00F53C8C" w:rsidRPr="00F53C8C">
        <w:rPr>
          <w:rFonts w:ascii="David" w:eastAsia="Calibri" w:hAnsi="David"/>
          <w:noProof w:val="0"/>
          <w:rtl/>
        </w:rPr>
        <w:t>עצם קיומו של תיק חקירה פתוח במשטרה אינו הופך את הפעולות שנעשו ל</w:t>
      </w:r>
      <w:r w:rsidR="007F518A" w:rsidRPr="007265C0">
        <w:rPr>
          <w:rFonts w:ascii="David" w:eastAsia="Calibri" w:hAnsi="David" w:hint="cs"/>
          <w:noProof w:val="0"/>
          <w:rtl/>
        </w:rPr>
        <w:t xml:space="preserve">צורך </w:t>
      </w:r>
      <w:r w:rsidR="00F53C8C" w:rsidRPr="00F53C8C">
        <w:rPr>
          <w:rFonts w:ascii="David" w:eastAsia="Calibri" w:hAnsi="David"/>
          <w:noProof w:val="0"/>
          <w:rtl/>
        </w:rPr>
        <w:t>נטילת דגימה מקרובי המשפחה בשנת 2010</w:t>
      </w:r>
      <w:r w:rsidR="007F518A" w:rsidRPr="007265C0">
        <w:rPr>
          <w:rFonts w:ascii="David" w:eastAsia="Calibri" w:hAnsi="David" w:hint="cs"/>
          <w:noProof w:val="0"/>
          <w:rtl/>
        </w:rPr>
        <w:t>,</w:t>
      </w:r>
      <w:r w:rsidR="00F53C8C" w:rsidRPr="00F53C8C">
        <w:rPr>
          <w:rFonts w:ascii="David" w:eastAsia="Calibri" w:hAnsi="David"/>
          <w:noProof w:val="0"/>
          <w:rtl/>
        </w:rPr>
        <w:t xml:space="preserve"> לפעולת חקירה בתיק הפלילי. לא הוכח מהעדויות שהחוקרים שביצעו את הפעולות לצורך הקמת המאגר ונטילת דגימות דנ"א פעלו במטרה לקדם את החקירה הפלילית, ולא הובאו ראיות לכך שהיחידה החוקרת ביקשה שתבוצע אותה פעולה או כי ניסתה להסתמך עליה בדרך כלשהי, ולו גם בחקירה נגדית של סגלוביץ או של אחד העדים האחרים. </w:t>
      </w:r>
    </w:p>
    <w:p w:rsidR="00F53C8C" w:rsidRPr="00F53C8C" w:rsidRDefault="00F53C8C" w:rsidP="00D456BC">
      <w:pPr>
        <w:spacing w:after="160" w:line="360" w:lineRule="auto"/>
        <w:ind w:firstLine="720"/>
        <w:jc w:val="both"/>
        <w:rPr>
          <w:rFonts w:ascii="David" w:eastAsia="Calibri" w:hAnsi="David"/>
          <w:noProof w:val="0"/>
        </w:rPr>
      </w:pPr>
      <w:r w:rsidRPr="00F53C8C">
        <w:rPr>
          <w:rFonts w:ascii="David" w:eastAsia="Calibri" w:hAnsi="David"/>
          <w:noProof w:val="0"/>
          <w:rtl/>
        </w:rPr>
        <w:t>גם בחינת הפעולות שבוצעו לגופן מביאה למסקנה דומה. הפעולות שלגביהן הובאו ראיות כללו איתור של בני משפחותיהם של נעדרים, פניה אליהם ובקשה לקבל מהם דגימות דנ"א שייכללו במאגר המידע, ונעשתה במקביל לפניה לבני משפחות של נעדרים אחרים (ראו, לדוגמא, עדויות שגיא קדמון, שרון אבישר, ליטל צצנה; מוצגים ת/3-ת/6, ת/9).</w:t>
      </w:r>
    </w:p>
    <w:p w:rsidR="00F53C8C" w:rsidRPr="00F53C8C" w:rsidRDefault="00F53C8C" w:rsidP="00D456BC">
      <w:pPr>
        <w:spacing w:after="160" w:line="360" w:lineRule="auto"/>
        <w:ind w:firstLine="720"/>
        <w:jc w:val="both"/>
        <w:rPr>
          <w:rFonts w:ascii="David" w:eastAsia="Calibri" w:hAnsi="David"/>
          <w:noProof w:val="0"/>
          <w:rtl/>
        </w:rPr>
      </w:pPr>
      <w:r w:rsidRPr="00F53C8C">
        <w:rPr>
          <w:rFonts w:ascii="David" w:eastAsia="Calibri" w:hAnsi="David"/>
          <w:noProof w:val="0"/>
          <w:rtl/>
        </w:rPr>
        <w:t>בדיקות דנ"א של בני משפחותיהם של נעדרים, יוצרות אפשרות לגילוי התאמה בין אותם נעדרים לבין גופות אלמונים שנמצאו. אולם אין בהן כדי לקשור בין הנעדר או האלמוני לבין החשוד בביצוע עבירה. יתכן, כמובן, שבקונסטלציה מסויימת יהיה בנתונים שנאספו כדי לסייע בחקירה כלשהי, אולם אפשרות זו אינה תכליתו של הפרוייקט.</w:t>
      </w:r>
    </w:p>
    <w:p w:rsidR="00F53C8C" w:rsidRPr="00F53C8C" w:rsidRDefault="00D456BC" w:rsidP="00F53C8C">
      <w:pPr>
        <w:spacing w:after="160" w:line="360" w:lineRule="auto"/>
        <w:jc w:val="both"/>
        <w:rPr>
          <w:rFonts w:ascii="David" w:eastAsia="Calibri" w:hAnsi="David"/>
          <w:noProof w:val="0"/>
          <w:rtl/>
        </w:rPr>
      </w:pPr>
      <w:r w:rsidRPr="007265C0">
        <w:rPr>
          <w:rFonts w:ascii="David" w:eastAsia="Calibri" w:hAnsi="David" w:hint="cs"/>
          <w:noProof w:val="0"/>
          <w:rtl/>
        </w:rPr>
        <w:t>30.</w:t>
      </w:r>
      <w:r w:rsidRPr="007265C0">
        <w:rPr>
          <w:rFonts w:ascii="David" w:eastAsia="Calibri" w:hAnsi="David" w:hint="cs"/>
          <w:noProof w:val="0"/>
          <w:rtl/>
        </w:rPr>
        <w:tab/>
      </w:r>
      <w:r w:rsidR="00F53C8C" w:rsidRPr="00F53C8C">
        <w:rPr>
          <w:rFonts w:ascii="David" w:eastAsia="Calibri" w:hAnsi="David"/>
          <w:noProof w:val="0"/>
          <w:rtl/>
        </w:rPr>
        <w:t xml:space="preserve">חיזוק נוסף לכך שהפעולות שבוצעו לא נועדו לקידום החקירה בתיק ולהעמדה לדין של עבריינים ניתן למצוא בעובדה שלצורך הפרוייקט הוקם מאגר מידע עצמאי, שונה ומובחן מהמאגר הפלילי של דנ"א, כעולה מעדותו של סגלוביץ. (אם כי, לדבריו, המאגר החל לפעול רק לאחר שהוא עצמו סיים את התפקיד, שכן היה צורך להשלים את ההיבטים המשפטיים, ליצור הרשאות, לרשום את המאגר וכדומה). מאחר שמדובר במאגר מידע עצמאי, שהגישה אליו אינה אוטומטית, הרי שהחומר הכלול בו אינו זמין ישירות לחוקרי המשטרה ואינו מהווה חלק מכלי החקירה שבידיהם. </w:t>
      </w:r>
    </w:p>
    <w:p w:rsidR="00F53C8C" w:rsidRPr="00F53C8C" w:rsidRDefault="00D456BC" w:rsidP="00457D97">
      <w:pPr>
        <w:spacing w:after="160" w:line="360" w:lineRule="auto"/>
        <w:jc w:val="both"/>
        <w:rPr>
          <w:rFonts w:ascii="David" w:eastAsia="Calibri" w:hAnsi="David"/>
          <w:noProof w:val="0"/>
          <w:rtl/>
        </w:rPr>
      </w:pPr>
      <w:r w:rsidRPr="007265C0">
        <w:rPr>
          <w:rFonts w:ascii="David" w:eastAsia="Calibri" w:hAnsi="David" w:hint="cs"/>
          <w:noProof w:val="0"/>
          <w:rtl/>
        </w:rPr>
        <w:lastRenderedPageBreak/>
        <w:t>31.</w:t>
      </w:r>
      <w:r w:rsidRPr="007265C0">
        <w:rPr>
          <w:rFonts w:ascii="David" w:eastAsia="Calibri" w:hAnsi="David" w:hint="cs"/>
          <w:noProof w:val="0"/>
          <w:rtl/>
        </w:rPr>
        <w:tab/>
      </w:r>
      <w:r w:rsidR="00F53C8C" w:rsidRPr="00F53C8C">
        <w:rPr>
          <w:rFonts w:ascii="David" w:eastAsia="Calibri" w:hAnsi="David"/>
          <w:noProof w:val="0"/>
          <w:rtl/>
        </w:rPr>
        <w:t xml:space="preserve">זאת ועוד; מהמסמכים הנ"ל עולה כי אמו של המנוח שטרית סירבה למסור דגימת דנ"א בשל הקושי הרגשי הכרוך בכך בצד העדר תקווה שהדגימה תביא לגילוי הגופה (ת/6), ואילו אחיו של המנוח מסר כבר דגימת דנ"א במסגרת החקירה הפלילית שהתנהלה בסמוך להיעלמותו של המנוח, והדגימה שהיתה ממילא בידי המשטרה, הועברה למאגר הנעדרים והאלמונים לאחר שהוקם (ראו נ/14). כך שבאירוע הנדון, הפעולות הנוגעות לדגימת בני המשפחה בשנת 2010 בוצעו לצורך קידום מאגר המידע, ואין לראות בהן "אירוע מנתק" המפסיק את מירוץ ההתיישנות. נעיר כי העובדה שבשנת 2010 נעשתה פניה נוספת לאחיו של המנוח, על אף שדגימת דנ"א שלו נלקחה כבר ונמצאה בתיק החקירה, מצביעה על כך שאין מדובר בפעולה משולבת של היחידה החוקרת ושל יחידת הנעדרים, ושיחידת הנעדרים פעלה באופן עצמאי לצורך קידום מטרותיה שלה.  </w:t>
      </w:r>
    </w:p>
    <w:p w:rsidR="00F53C8C" w:rsidRPr="00F53C8C" w:rsidRDefault="00433D31" w:rsidP="00F53C8C">
      <w:pPr>
        <w:spacing w:after="160" w:line="360" w:lineRule="auto"/>
        <w:jc w:val="both"/>
        <w:rPr>
          <w:rFonts w:ascii="David" w:eastAsia="Calibri" w:hAnsi="David"/>
          <w:noProof w:val="0"/>
          <w:rtl/>
        </w:rPr>
      </w:pPr>
      <w:r w:rsidRPr="007265C0">
        <w:rPr>
          <w:rFonts w:ascii="David" w:eastAsia="Calibri" w:hAnsi="David" w:hint="cs"/>
          <w:noProof w:val="0"/>
          <w:rtl/>
        </w:rPr>
        <w:t>32.</w:t>
      </w:r>
      <w:r w:rsidRPr="007265C0">
        <w:rPr>
          <w:rFonts w:ascii="David" w:eastAsia="Calibri" w:hAnsi="David" w:hint="cs"/>
          <w:noProof w:val="0"/>
          <w:rtl/>
        </w:rPr>
        <w:tab/>
      </w:r>
      <w:r w:rsidR="00F53C8C" w:rsidRPr="00F53C8C">
        <w:rPr>
          <w:rFonts w:ascii="David" w:eastAsia="Calibri" w:hAnsi="David"/>
          <w:noProof w:val="0"/>
          <w:rtl/>
        </w:rPr>
        <w:t xml:space="preserve">בנושא זה קיים שוני מהותי בין המקרה שבפנינו לבין מקרים אחרים שנדונו בפסיקה, כאשר בעניין </w:t>
      </w:r>
      <w:r w:rsidR="00F53C8C" w:rsidRPr="00F53C8C">
        <w:rPr>
          <w:rFonts w:ascii="David" w:eastAsia="Calibri" w:hAnsi="David"/>
          <w:b/>
          <w:bCs/>
          <w:noProof w:val="0"/>
          <w:rtl/>
        </w:rPr>
        <w:t>קרן</w:t>
      </w:r>
      <w:r w:rsidR="00F53C8C" w:rsidRPr="00F53C8C">
        <w:rPr>
          <w:rFonts w:ascii="David" w:eastAsia="Calibri" w:hAnsi="David"/>
          <w:noProof w:val="0"/>
          <w:rtl/>
        </w:rPr>
        <w:t>, לדוגמא, בית המשפט ראה במציאת התאמה של טביעות אצבע פעולה המקדמת את החקירה, אולם זאת כאשר מדובר בהתאמה בין טביעות אצבע שנמצאו בזירה לבין החשוד. בענייננו, כאמור, אין מדובר בדגימת דנ"א של חשוד אלא בבני משפחה של הנעדר, כך שקבלת הדגימה עשויה לקדם את מציאת הנעדר או זיהויו, אך לאו דווקא את חיזוק החשדות והבאתם של עבריינים לדין.</w:t>
      </w:r>
    </w:p>
    <w:p w:rsidR="00F53C8C" w:rsidRPr="007265C0" w:rsidRDefault="00F53C8C" w:rsidP="00433D31">
      <w:pPr>
        <w:spacing w:after="160" w:line="360" w:lineRule="auto"/>
        <w:ind w:firstLine="720"/>
        <w:jc w:val="both"/>
        <w:rPr>
          <w:rFonts w:ascii="David" w:eastAsia="Calibri" w:hAnsi="David"/>
          <w:noProof w:val="0"/>
          <w:rtl/>
        </w:rPr>
      </w:pPr>
      <w:r w:rsidRPr="00F53C8C">
        <w:rPr>
          <w:rFonts w:ascii="David" w:eastAsia="Calibri" w:hAnsi="David"/>
          <w:noProof w:val="0"/>
          <w:rtl/>
        </w:rPr>
        <w:t xml:space="preserve">המסקנה העולה מכל האמור לעיל היא שהפעולות שבוצעו על ידי המשטרה בשנת 2010 לא היו פעולות של חיפוש ואיסוף ראיות, חקירת עדים, תפיסת מסמכים וכדומה, במטרה לקדם את החקירה ואת הגשת כתב האישום לבית המשפט. מדובר בפעולות שנועדו לקדם את הקמת מאגר המידע החדש, שתכליתו יצירת אפשרות לאיתור נעדרים והצלבת נתונים בין נעדרים לאלמונים; תכלית שהיא ללא ספק נדרשת ונעלה, אולם אינה כלולה בגדרן של </w:t>
      </w:r>
      <w:r w:rsidR="002A6DE5" w:rsidRPr="007265C0">
        <w:rPr>
          <w:rFonts w:ascii="David" w:eastAsia="Calibri" w:hAnsi="David" w:hint="cs"/>
          <w:noProof w:val="0"/>
          <w:rtl/>
        </w:rPr>
        <w:t>"</w:t>
      </w:r>
      <w:r w:rsidRPr="00F53C8C">
        <w:rPr>
          <w:rFonts w:ascii="David" w:eastAsia="Calibri" w:hAnsi="David"/>
          <w:noProof w:val="0"/>
          <w:rtl/>
        </w:rPr>
        <w:t>פעולות</w:t>
      </w:r>
      <w:r w:rsidR="002A6DE5" w:rsidRPr="007265C0">
        <w:rPr>
          <w:rFonts w:ascii="David" w:eastAsia="Calibri" w:hAnsi="David" w:hint="cs"/>
          <w:noProof w:val="0"/>
          <w:rtl/>
        </w:rPr>
        <w:t xml:space="preserve"> חקירה"</w:t>
      </w:r>
      <w:r w:rsidRPr="00F53C8C">
        <w:rPr>
          <w:rFonts w:ascii="David" w:eastAsia="Calibri" w:hAnsi="David"/>
          <w:noProof w:val="0"/>
          <w:rtl/>
        </w:rPr>
        <w:t xml:space="preserve"> שיש בהן כדי לקטוע את מירוץ ההתיישנות. </w:t>
      </w:r>
    </w:p>
    <w:p w:rsidR="00433D31" w:rsidRPr="007265C0" w:rsidRDefault="00433D31" w:rsidP="00433D31">
      <w:pPr>
        <w:spacing w:after="160" w:line="360" w:lineRule="auto"/>
        <w:jc w:val="both"/>
        <w:rPr>
          <w:rFonts w:ascii="David" w:eastAsia="Calibri" w:hAnsi="David"/>
          <w:noProof w:val="0"/>
          <w:rtl/>
        </w:rPr>
      </w:pPr>
    </w:p>
    <w:p w:rsidR="00433D31" w:rsidRPr="007265C0" w:rsidRDefault="00433D31" w:rsidP="00433D31">
      <w:pPr>
        <w:spacing w:after="160" w:line="360" w:lineRule="auto"/>
        <w:jc w:val="both"/>
        <w:rPr>
          <w:rFonts w:ascii="David" w:eastAsia="Calibri" w:hAnsi="David"/>
          <w:noProof w:val="0"/>
          <w:rtl/>
        </w:rPr>
      </w:pPr>
      <w:r w:rsidRPr="007265C0">
        <w:rPr>
          <w:rFonts w:ascii="David" w:eastAsia="Calibri" w:hAnsi="David" w:hint="cs"/>
          <w:b/>
          <w:bCs/>
          <w:noProof w:val="0"/>
          <w:u w:val="single"/>
          <w:rtl/>
        </w:rPr>
        <w:t>אפילוג</w:t>
      </w:r>
    </w:p>
    <w:p w:rsidR="00A637D8" w:rsidRPr="007265C0" w:rsidRDefault="00433D31" w:rsidP="00A93CDA">
      <w:pPr>
        <w:spacing w:after="160" w:line="360" w:lineRule="auto"/>
        <w:jc w:val="both"/>
        <w:rPr>
          <w:rFonts w:ascii="David" w:eastAsia="Calibri" w:hAnsi="David"/>
          <w:noProof w:val="0"/>
          <w:rtl/>
        </w:rPr>
      </w:pPr>
      <w:r w:rsidRPr="007265C0">
        <w:rPr>
          <w:rFonts w:ascii="David" w:eastAsia="Calibri" w:hAnsi="David" w:hint="cs"/>
          <w:noProof w:val="0"/>
          <w:rtl/>
        </w:rPr>
        <w:t>33.</w:t>
      </w:r>
      <w:r w:rsidRPr="007265C0">
        <w:rPr>
          <w:rFonts w:ascii="David" w:eastAsia="Calibri" w:hAnsi="David"/>
          <w:noProof w:val="0"/>
          <w:rtl/>
        </w:rPr>
        <w:tab/>
      </w:r>
      <w:r w:rsidR="00F53C8C" w:rsidRPr="00F53C8C">
        <w:rPr>
          <w:rFonts w:ascii="David" w:eastAsia="Calibri" w:hAnsi="David"/>
          <w:noProof w:val="0"/>
          <w:rtl/>
        </w:rPr>
        <w:t>לא נוכל לסיים החלטה זו מבלי להידרש למשמעות הנובעת ממנה</w:t>
      </w:r>
      <w:r w:rsidR="00A637D8" w:rsidRPr="007265C0">
        <w:rPr>
          <w:rFonts w:ascii="David" w:eastAsia="Calibri" w:hAnsi="David" w:hint="cs"/>
          <w:noProof w:val="0"/>
          <w:rtl/>
        </w:rPr>
        <w:t>.</w:t>
      </w:r>
    </w:p>
    <w:p w:rsidR="00A637D8" w:rsidRPr="007265C0" w:rsidRDefault="00F53C8C" w:rsidP="00A93CDA">
      <w:pPr>
        <w:spacing w:after="160" w:line="360" w:lineRule="auto"/>
        <w:jc w:val="both"/>
        <w:rPr>
          <w:rFonts w:ascii="David" w:eastAsia="Calibri" w:hAnsi="David"/>
          <w:noProof w:val="0"/>
          <w:rtl/>
        </w:rPr>
      </w:pPr>
      <w:r w:rsidRPr="00F53C8C">
        <w:rPr>
          <w:rFonts w:ascii="David" w:eastAsia="Calibri" w:hAnsi="David"/>
          <w:noProof w:val="0"/>
          <w:rtl/>
        </w:rPr>
        <w:t xml:space="preserve"> </w:t>
      </w:r>
      <w:r w:rsidR="00A637D8" w:rsidRPr="007265C0">
        <w:rPr>
          <w:rFonts w:ascii="David" w:eastAsia="Calibri" w:hAnsi="David"/>
          <w:noProof w:val="0"/>
          <w:rtl/>
        </w:rPr>
        <w:tab/>
      </w:r>
      <w:r w:rsidR="007A660D" w:rsidRPr="007265C0">
        <w:rPr>
          <w:rFonts w:ascii="David" w:eastAsia="Calibri" w:hAnsi="David" w:hint="cs"/>
          <w:noProof w:val="0"/>
          <w:rtl/>
        </w:rPr>
        <w:t xml:space="preserve">ההליך הפלילי נועד לשרת </w:t>
      </w:r>
      <w:r w:rsidRPr="00F53C8C">
        <w:rPr>
          <w:rFonts w:ascii="David" w:eastAsia="Calibri" w:hAnsi="David"/>
          <w:noProof w:val="0"/>
          <w:rtl/>
        </w:rPr>
        <w:t>את ה"</w:t>
      </w:r>
      <w:r w:rsidRPr="00F53C8C">
        <w:rPr>
          <w:rFonts w:ascii="David" w:eastAsia="Calibri" w:hAnsi="David"/>
          <w:b/>
          <w:bCs/>
          <w:noProof w:val="0"/>
          <w:rtl/>
        </w:rPr>
        <w:t>אינטרס החברתי, מוסרי, אתי, להעמיד עבריינים למשפט, למצות עמם את הדין ולהגן על החברה ועל יחידיה מפניהם, אינטרס שהזמן אינו מכהה את חודו</w:t>
      </w:r>
      <w:r w:rsidRPr="00F53C8C">
        <w:rPr>
          <w:rFonts w:ascii="David" w:eastAsia="Calibri" w:hAnsi="David"/>
          <w:noProof w:val="0"/>
          <w:rtl/>
        </w:rPr>
        <w:t xml:space="preserve">" (עניין </w:t>
      </w:r>
      <w:r w:rsidRPr="00F53C8C">
        <w:rPr>
          <w:rFonts w:ascii="David" w:eastAsia="Calibri" w:hAnsi="David"/>
          <w:b/>
          <w:bCs/>
          <w:noProof w:val="0"/>
          <w:rtl/>
        </w:rPr>
        <w:t>התנועה לאיכות השלטון</w:t>
      </w:r>
      <w:r w:rsidRPr="00F53C8C">
        <w:rPr>
          <w:rFonts w:ascii="David" w:eastAsia="Calibri" w:hAnsi="David"/>
          <w:noProof w:val="0"/>
          <w:rtl/>
        </w:rPr>
        <w:t xml:space="preserve">, פסקה 7 בדעת כב' השופטת שטרסברג-כהן). </w:t>
      </w:r>
    </w:p>
    <w:p w:rsidR="00F53C8C" w:rsidRDefault="00A93CDA" w:rsidP="00A637D8">
      <w:pPr>
        <w:spacing w:after="160" w:line="360" w:lineRule="auto"/>
        <w:ind w:firstLine="720"/>
        <w:jc w:val="both"/>
        <w:rPr>
          <w:rFonts w:ascii="David" w:eastAsia="Calibri" w:hAnsi="David"/>
          <w:noProof w:val="0"/>
          <w:rtl/>
        </w:rPr>
      </w:pPr>
      <w:r w:rsidRPr="007265C0">
        <w:rPr>
          <w:rFonts w:ascii="David" w:eastAsia="Calibri" w:hAnsi="David" w:hint="cs"/>
          <w:noProof w:val="0"/>
          <w:rtl/>
        </w:rPr>
        <w:t xml:space="preserve">בענייננו, </w:t>
      </w:r>
      <w:r w:rsidR="00F53C8C" w:rsidRPr="00F53C8C">
        <w:rPr>
          <w:rFonts w:ascii="David" w:eastAsia="Calibri" w:hAnsi="David"/>
          <w:noProof w:val="0"/>
          <w:rtl/>
        </w:rPr>
        <w:t xml:space="preserve">חלוף הזמן </w:t>
      </w:r>
      <w:r w:rsidR="007A660D" w:rsidRPr="007265C0">
        <w:rPr>
          <w:rFonts w:ascii="David" w:eastAsia="Calibri" w:hAnsi="David" w:hint="cs"/>
          <w:noProof w:val="0"/>
          <w:rtl/>
        </w:rPr>
        <w:t>והתיישנות ההליכים יוצרים</w:t>
      </w:r>
      <w:r w:rsidR="00F53C8C" w:rsidRPr="00F53C8C">
        <w:rPr>
          <w:rFonts w:ascii="David" w:eastAsia="Calibri" w:hAnsi="David"/>
          <w:noProof w:val="0"/>
          <w:rtl/>
        </w:rPr>
        <w:t xml:space="preserve"> מחסום דיוני</w:t>
      </w:r>
      <w:r w:rsidR="00CF4E7B" w:rsidRPr="007265C0">
        <w:rPr>
          <w:rFonts w:ascii="David" w:eastAsia="Calibri" w:hAnsi="David" w:hint="cs"/>
          <w:noProof w:val="0"/>
          <w:rtl/>
        </w:rPr>
        <w:t xml:space="preserve"> שאינו מאפשר קיום ההליך, ובכך </w:t>
      </w:r>
      <w:r w:rsidR="00F53C8C" w:rsidRPr="00F53C8C">
        <w:rPr>
          <w:rFonts w:ascii="David" w:eastAsia="Calibri" w:hAnsi="David"/>
          <w:noProof w:val="0"/>
          <w:rtl/>
        </w:rPr>
        <w:t>מונע מבני משפחתו של המנוח את הזכות ל"צדק" משפטי ואת מנוחת הנפש שיש בהתרת ה</w:t>
      </w:r>
      <w:r w:rsidR="00CD2D33" w:rsidRPr="007265C0">
        <w:rPr>
          <w:rFonts w:ascii="David" w:eastAsia="Calibri" w:hAnsi="David"/>
          <w:noProof w:val="0"/>
          <w:rtl/>
        </w:rPr>
        <w:t>ספיקות, ועל כך מצטערים אנו מאד</w:t>
      </w:r>
      <w:r w:rsidR="00CD2D33" w:rsidRPr="007265C0">
        <w:rPr>
          <w:rFonts w:ascii="David" w:eastAsia="Calibri" w:hAnsi="David" w:hint="cs"/>
          <w:noProof w:val="0"/>
          <w:rtl/>
        </w:rPr>
        <w:t xml:space="preserve">, אולם </w:t>
      </w:r>
      <w:r w:rsidR="00F53C8C" w:rsidRPr="00F53C8C">
        <w:rPr>
          <w:rFonts w:ascii="David" w:eastAsia="Calibri" w:hAnsi="David"/>
          <w:noProof w:val="0"/>
          <w:rtl/>
        </w:rPr>
        <w:t>בעשותנו את מלאכתנו מוטלת עלינו מרותו של הדין</w:t>
      </w:r>
      <w:r w:rsidR="00CF4E7B" w:rsidRPr="007265C0">
        <w:rPr>
          <w:rFonts w:ascii="David" w:eastAsia="Calibri" w:hAnsi="David"/>
          <w:noProof w:val="0"/>
          <w:rtl/>
        </w:rPr>
        <w:t xml:space="preserve"> </w:t>
      </w:r>
      <w:r w:rsidR="00CF4E7B" w:rsidRPr="007265C0">
        <w:rPr>
          <w:rFonts w:ascii="David" w:eastAsia="Calibri" w:hAnsi="David"/>
          <w:noProof w:val="0"/>
          <w:rtl/>
        </w:rPr>
        <w:lastRenderedPageBreak/>
        <w:t>(ראו סעיף 2 לחוק יסוד: השפיטה)</w:t>
      </w:r>
      <w:r w:rsidR="00CF4E7B" w:rsidRPr="007265C0">
        <w:rPr>
          <w:rFonts w:ascii="David" w:eastAsia="Calibri" w:hAnsi="David" w:hint="cs"/>
          <w:noProof w:val="0"/>
          <w:rtl/>
        </w:rPr>
        <w:t>.</w:t>
      </w:r>
      <w:r w:rsidR="00A10C52" w:rsidRPr="007265C0">
        <w:rPr>
          <w:rFonts w:ascii="David" w:eastAsia="Calibri" w:hAnsi="David" w:hint="cs"/>
          <w:noProof w:val="0"/>
          <w:rtl/>
        </w:rPr>
        <w:t xml:space="preserve"> </w:t>
      </w:r>
      <w:r w:rsidR="00A637D8" w:rsidRPr="007265C0">
        <w:rPr>
          <w:rFonts w:ascii="David" w:eastAsia="Calibri" w:hAnsi="David" w:hint="cs"/>
          <w:noProof w:val="0"/>
          <w:rtl/>
        </w:rPr>
        <w:t>לא נותר לנו, איפוא, אלא להביע את השתתפותנו הכנה בצערה של משפחת המנוח</w:t>
      </w:r>
      <w:r w:rsidR="00CD2D33" w:rsidRPr="007265C0">
        <w:rPr>
          <w:rFonts w:ascii="David" w:eastAsia="Calibri" w:hAnsi="David" w:hint="cs"/>
          <w:noProof w:val="0"/>
          <w:rtl/>
        </w:rPr>
        <w:t>,</w:t>
      </w:r>
      <w:r w:rsidR="00A637D8" w:rsidRPr="007265C0">
        <w:rPr>
          <w:rFonts w:ascii="David" w:eastAsia="Calibri" w:hAnsi="David" w:hint="cs"/>
          <w:noProof w:val="0"/>
          <w:rtl/>
        </w:rPr>
        <w:t xml:space="preserve"> ולאחל להם שינוחמו מן השמים. </w:t>
      </w:r>
    </w:p>
    <w:p w:rsidR="007265C0" w:rsidRPr="00F53C8C" w:rsidRDefault="007265C0" w:rsidP="00A637D8">
      <w:pPr>
        <w:spacing w:after="160" w:line="360" w:lineRule="auto"/>
        <w:ind w:firstLine="720"/>
        <w:jc w:val="both"/>
        <w:rPr>
          <w:rFonts w:ascii="David" w:eastAsia="Calibri" w:hAnsi="David"/>
          <w:noProof w:val="0"/>
          <w:rtl/>
        </w:rPr>
      </w:pPr>
    </w:p>
    <w:p w:rsidR="00F53C8C" w:rsidRDefault="00A637D8" w:rsidP="00A637D8">
      <w:pPr>
        <w:spacing w:after="160" w:line="360" w:lineRule="auto"/>
        <w:jc w:val="both"/>
        <w:rPr>
          <w:rFonts w:ascii="David" w:eastAsia="Calibri" w:hAnsi="David"/>
          <w:noProof w:val="0"/>
          <w:rtl/>
        </w:rPr>
      </w:pPr>
      <w:r w:rsidRPr="007265C0">
        <w:rPr>
          <w:rFonts w:ascii="David" w:eastAsia="Calibri" w:hAnsi="David" w:hint="cs"/>
          <w:noProof w:val="0"/>
          <w:rtl/>
        </w:rPr>
        <w:t>44.</w:t>
      </w:r>
      <w:r w:rsidRPr="007265C0">
        <w:rPr>
          <w:rFonts w:ascii="David" w:eastAsia="Calibri" w:hAnsi="David" w:hint="cs"/>
          <w:noProof w:val="0"/>
          <w:rtl/>
        </w:rPr>
        <w:tab/>
        <w:t xml:space="preserve">לאור כל האמור </w:t>
      </w:r>
      <w:r w:rsidR="00F53C8C" w:rsidRPr="00F53C8C">
        <w:rPr>
          <w:rFonts w:ascii="David" w:eastAsia="Calibri" w:hAnsi="David"/>
          <w:noProof w:val="0"/>
          <w:rtl/>
        </w:rPr>
        <w:t>אנו קובעים כי לא ניתן להעמיד לדין את הנאשם על העבירות שבכתב האישום</w:t>
      </w:r>
      <w:r w:rsidR="0096268E" w:rsidRPr="007265C0">
        <w:rPr>
          <w:rFonts w:ascii="David" w:eastAsia="Calibri" w:hAnsi="David" w:hint="cs"/>
          <w:noProof w:val="0"/>
          <w:rtl/>
        </w:rPr>
        <w:t>, שהתיישנו</w:t>
      </w:r>
      <w:r w:rsidR="00F53C8C" w:rsidRPr="00F53C8C">
        <w:rPr>
          <w:rFonts w:ascii="David" w:eastAsia="Calibri" w:hAnsi="David"/>
          <w:noProof w:val="0"/>
          <w:rtl/>
        </w:rPr>
        <w:t xml:space="preserve">. התוצאה היא שכתב האישום מבוטל, בהתאם לסעיף 150 לחסד"פ. </w:t>
      </w:r>
    </w:p>
    <w:p w:rsidR="00FE71FB" w:rsidRPr="00F53C8C" w:rsidRDefault="00FE71FB" w:rsidP="00A637D8">
      <w:pPr>
        <w:spacing w:after="160" w:line="360" w:lineRule="auto"/>
        <w:jc w:val="both"/>
        <w:rPr>
          <w:rFonts w:ascii="David" w:eastAsia="Calibri" w:hAnsi="David"/>
          <w:noProof w:val="0"/>
          <w:rtl/>
        </w:rPr>
      </w:pPr>
    </w:p>
    <w:p w:rsidR="00694556" w:rsidRPr="007265C0" w:rsidRDefault="0043502B" w:rsidP="00CD2D33">
      <w:pPr>
        <w:spacing w:line="360" w:lineRule="auto"/>
        <w:jc w:val="both"/>
        <w:rPr>
          <w:rFonts w:ascii="Arial" w:hAnsi="Arial"/>
          <w:noProof w:val="0"/>
          <w:rtl/>
        </w:rPr>
      </w:pPr>
      <w:r w:rsidRPr="007265C0">
        <w:rPr>
          <w:rFonts w:ascii="Arial" w:hAnsi="Arial"/>
          <w:noProof w:val="0"/>
          <w:rtl/>
        </w:rPr>
        <w:t>נית</w:t>
      </w:r>
      <w:r w:rsidR="00860102" w:rsidRPr="007265C0">
        <w:rPr>
          <w:rFonts w:ascii="Arial" w:hAnsi="Arial" w:hint="cs"/>
          <w:noProof w:val="0"/>
          <w:rtl/>
        </w:rPr>
        <w:t>ן</w:t>
      </w:r>
      <w:r w:rsidR="00005C8B" w:rsidRPr="007265C0">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ניסן תשפ"ד</w:t>
          </w:r>
        </w:sdtContent>
      </w:sdt>
      <w:r w:rsidR="00005C8B" w:rsidRPr="007265C0">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מאי 2024</w:t>
          </w:r>
        </w:sdtContent>
      </w:sdt>
      <w:r w:rsidR="00005C8B" w:rsidRPr="007265C0">
        <w:rPr>
          <w:rFonts w:ascii="Arial" w:hAnsi="Arial"/>
          <w:noProof w:val="0"/>
          <w:rtl/>
        </w:rPr>
        <w:t>, ב</w:t>
      </w:r>
      <w:r w:rsidR="00CD2D33" w:rsidRPr="007265C0">
        <w:rPr>
          <w:rFonts w:ascii="Arial" w:hAnsi="Arial" w:hint="cs"/>
          <w:noProof w:val="0"/>
          <w:rtl/>
        </w:rPr>
        <w:t>מעמד</w:t>
      </w:r>
      <w:r w:rsidR="00005C8B" w:rsidRPr="007265C0">
        <w:rPr>
          <w:rFonts w:ascii="Arial" w:hAnsi="Arial"/>
          <w:noProof w:val="0"/>
          <w:rtl/>
        </w:rPr>
        <w:t xml:space="preserve"> הצדדים.</w:t>
      </w:r>
    </w:p>
    <w:p w:rsidR="00C43648" w:rsidRPr="007265C0" w:rsidRDefault="00A20A9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sidRPr="007265C0">
            <w:rPr>
              <w:rFonts w:hint="cs"/>
              <w:rtl/>
            </w:rPr>
            <w:t xml:space="preserve">     </w:t>
          </w:r>
        </w:sdtContent>
      </w:sdt>
    </w:p>
    <w:tbl>
      <w:tblPr>
        <w:tblStyle w:val="10"/>
        <w:bidiVisual/>
        <w:tblW w:w="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54"/>
        <w:gridCol w:w="236"/>
        <w:gridCol w:w="2284"/>
        <w:gridCol w:w="236"/>
        <w:gridCol w:w="3174"/>
      </w:tblGrid>
      <w:tr w:rsidR="007265C0" w:rsidRPr="007265C0" w:rsidTr="007265C0">
        <w:trPr>
          <w:trHeight w:val="1135"/>
        </w:trPr>
        <w:tc>
          <w:tcPr>
            <w:tcW w:w="2654" w:type="dxa"/>
            <w:tcBorders>
              <w:top w:val="nil"/>
              <w:left w:val="nil"/>
              <w:bottom w:val="single" w:sz="4" w:space="0" w:color="auto"/>
              <w:right w:val="nil"/>
            </w:tcBorders>
            <w:vAlign w:val="center"/>
            <w:hideMark/>
          </w:tcPr>
          <w:p w:rsidR="007265C0" w:rsidRPr="007265C0" w:rsidRDefault="007265C0" w:rsidP="007265C0">
            <w:pPr>
              <w:spacing w:line="360" w:lineRule="auto"/>
              <w:jc w:val="center"/>
              <w:rPr>
                <w:rFonts w:ascii="Courier New" w:eastAsia="David" w:hAnsi="Courier New"/>
                <w:b/>
                <w:bCs/>
                <w:noProof w:val="0"/>
              </w:rPr>
            </w:pPr>
            <w:r w:rsidRPr="007265C0">
              <w:rPr>
                <w:rFonts w:ascii="David" w:eastAsia="David" w:hAnsi="David"/>
              </w:rPr>
              <w:drawing>
                <wp:inline distT="0" distB="0" distL="0" distR="0" wp14:anchorId="7B933EC6" wp14:editId="6F6827C0">
                  <wp:extent cx="716915" cy="563245"/>
                  <wp:effectExtent l="0" t="0" r="6985" b="8255"/>
                  <wp:docPr id="4" name="תמונה 3" descr="059708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0597088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6915" cy="563245"/>
                          </a:xfrm>
                          <a:prstGeom prst="rect">
                            <a:avLst/>
                          </a:prstGeom>
                          <a:noFill/>
                          <a:ln>
                            <a:noFill/>
                          </a:ln>
                        </pic:spPr>
                      </pic:pic>
                    </a:graphicData>
                  </a:graphic>
                </wp:inline>
              </w:drawing>
            </w:r>
          </w:p>
        </w:tc>
        <w:tc>
          <w:tcPr>
            <w:tcW w:w="236" w:type="dxa"/>
            <w:vAlign w:val="center"/>
          </w:tcPr>
          <w:p w:rsidR="007265C0" w:rsidRPr="007265C0" w:rsidRDefault="007265C0" w:rsidP="007265C0">
            <w:pPr>
              <w:spacing w:line="360" w:lineRule="auto"/>
              <w:jc w:val="center"/>
              <w:rPr>
                <w:rFonts w:ascii="Courier New" w:eastAsia="David" w:hAnsi="Courier New"/>
                <w:b/>
                <w:bCs/>
                <w:noProof w:val="0"/>
                <w:rtl/>
              </w:rPr>
            </w:pPr>
          </w:p>
        </w:tc>
        <w:tc>
          <w:tcPr>
            <w:tcW w:w="2284" w:type="dxa"/>
            <w:tcBorders>
              <w:top w:val="nil"/>
              <w:left w:val="nil"/>
              <w:bottom w:val="single" w:sz="4" w:space="0" w:color="auto"/>
              <w:right w:val="nil"/>
            </w:tcBorders>
            <w:vAlign w:val="center"/>
            <w:hideMark/>
          </w:tcPr>
          <w:p w:rsidR="007265C0" w:rsidRPr="007265C0" w:rsidRDefault="007265C0" w:rsidP="007265C0">
            <w:pPr>
              <w:spacing w:line="360" w:lineRule="auto"/>
              <w:jc w:val="center"/>
              <w:rPr>
                <w:rFonts w:ascii="Courier New" w:eastAsia="David" w:hAnsi="Courier New"/>
                <w:b/>
                <w:bCs/>
                <w:noProof w:val="0"/>
              </w:rPr>
            </w:pPr>
            <w:r w:rsidRPr="007265C0">
              <w:rPr>
                <w:rFonts w:ascii="David" w:eastAsia="David" w:hAnsi="David"/>
              </w:rPr>
              <w:drawing>
                <wp:inline distT="0" distB="0" distL="0" distR="0" wp14:anchorId="5ADC3906" wp14:editId="00F8696D">
                  <wp:extent cx="1236345" cy="534035"/>
                  <wp:effectExtent l="0" t="0" r="1905" b="0"/>
                  <wp:docPr id="5" name="תמונה 5" descr="0658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descr="0658934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6345" cy="534035"/>
                          </a:xfrm>
                          <a:prstGeom prst="rect">
                            <a:avLst/>
                          </a:prstGeom>
                          <a:noFill/>
                          <a:ln>
                            <a:noFill/>
                          </a:ln>
                        </pic:spPr>
                      </pic:pic>
                    </a:graphicData>
                  </a:graphic>
                </wp:inline>
              </w:drawing>
            </w:r>
          </w:p>
        </w:tc>
        <w:tc>
          <w:tcPr>
            <w:tcW w:w="236" w:type="dxa"/>
            <w:vAlign w:val="center"/>
          </w:tcPr>
          <w:p w:rsidR="007265C0" w:rsidRPr="007265C0" w:rsidRDefault="007265C0" w:rsidP="007265C0">
            <w:pPr>
              <w:spacing w:line="360" w:lineRule="auto"/>
              <w:jc w:val="center"/>
              <w:rPr>
                <w:rFonts w:ascii="Courier New" w:eastAsia="David" w:hAnsi="Courier New"/>
                <w:b/>
                <w:bCs/>
                <w:noProof w:val="0"/>
                <w:rtl/>
              </w:rPr>
            </w:pPr>
          </w:p>
        </w:tc>
        <w:tc>
          <w:tcPr>
            <w:tcW w:w="3174" w:type="dxa"/>
            <w:tcBorders>
              <w:top w:val="nil"/>
              <w:left w:val="nil"/>
              <w:bottom w:val="single" w:sz="4" w:space="0" w:color="auto"/>
              <w:right w:val="nil"/>
            </w:tcBorders>
            <w:vAlign w:val="center"/>
            <w:hideMark/>
          </w:tcPr>
          <w:p w:rsidR="007265C0" w:rsidRPr="007265C0" w:rsidRDefault="007265C0" w:rsidP="007265C0">
            <w:pPr>
              <w:spacing w:line="360" w:lineRule="auto"/>
              <w:jc w:val="center"/>
              <w:rPr>
                <w:rFonts w:ascii="Courier New" w:eastAsia="David" w:hAnsi="Courier New"/>
                <w:b/>
                <w:bCs/>
                <w:noProof w:val="0"/>
              </w:rPr>
            </w:pPr>
            <w:r w:rsidRPr="007265C0">
              <w:rPr>
                <w:rFonts w:ascii="David" w:eastAsia="David" w:hAnsi="David"/>
              </w:rPr>
              <w:drawing>
                <wp:inline distT="0" distB="0" distL="0" distR="0" wp14:anchorId="4D848833" wp14:editId="6488CD9E">
                  <wp:extent cx="1236345" cy="753745"/>
                  <wp:effectExtent l="0" t="0" r="1905" b="8255"/>
                  <wp:docPr id="6" name="תמונה 9" descr="028149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descr="0281497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6345" cy="753745"/>
                          </a:xfrm>
                          <a:prstGeom prst="rect">
                            <a:avLst/>
                          </a:prstGeom>
                          <a:noFill/>
                          <a:ln>
                            <a:noFill/>
                          </a:ln>
                        </pic:spPr>
                      </pic:pic>
                    </a:graphicData>
                  </a:graphic>
                </wp:inline>
              </w:drawing>
            </w:r>
          </w:p>
        </w:tc>
      </w:tr>
      <w:tr w:rsidR="007265C0" w:rsidRPr="007265C0" w:rsidTr="007265C0">
        <w:tc>
          <w:tcPr>
            <w:tcW w:w="2654" w:type="dxa"/>
            <w:tcBorders>
              <w:top w:val="single" w:sz="4" w:space="0" w:color="auto"/>
              <w:left w:val="nil"/>
              <w:bottom w:val="nil"/>
              <w:right w:val="nil"/>
            </w:tcBorders>
          </w:tcPr>
          <w:p w:rsidR="007265C0" w:rsidRPr="007265C0" w:rsidRDefault="007265C0" w:rsidP="007265C0">
            <w:pPr>
              <w:spacing w:line="360" w:lineRule="auto"/>
              <w:jc w:val="center"/>
              <w:rPr>
                <w:rFonts w:ascii="David" w:eastAsia="David" w:hAnsi="David"/>
                <w:b/>
                <w:bCs/>
                <w:noProof w:val="0"/>
                <w:rtl/>
              </w:rPr>
            </w:pPr>
          </w:p>
          <w:p w:rsidR="007265C0" w:rsidRPr="007265C0" w:rsidRDefault="007265C0" w:rsidP="007265C0">
            <w:pPr>
              <w:spacing w:line="360" w:lineRule="auto"/>
              <w:jc w:val="center"/>
              <w:rPr>
                <w:rFonts w:ascii="David" w:eastAsia="David" w:hAnsi="David"/>
                <w:b/>
                <w:bCs/>
                <w:noProof w:val="0"/>
                <w:rtl/>
              </w:rPr>
            </w:pPr>
            <w:r w:rsidRPr="007265C0">
              <w:rPr>
                <w:rFonts w:ascii="David" w:eastAsia="David" w:hAnsi="David" w:hint="cs"/>
                <w:b/>
                <w:bCs/>
                <w:noProof w:val="0"/>
                <w:rtl/>
              </w:rPr>
              <w:t>חגית מאק-קלמנוביץ,</w:t>
            </w:r>
          </w:p>
          <w:p w:rsidR="007265C0" w:rsidRPr="007265C0" w:rsidRDefault="007265C0" w:rsidP="007265C0">
            <w:pPr>
              <w:spacing w:line="360" w:lineRule="auto"/>
              <w:jc w:val="center"/>
              <w:rPr>
                <w:rFonts w:ascii="David" w:eastAsia="David" w:hAnsi="David"/>
                <w:b/>
                <w:bCs/>
                <w:rtl/>
              </w:rPr>
            </w:pPr>
            <w:r w:rsidRPr="007265C0">
              <w:rPr>
                <w:rFonts w:ascii="David" w:eastAsia="David" w:hAnsi="David" w:hint="cs"/>
                <w:b/>
                <w:bCs/>
                <w:noProof w:val="0"/>
                <w:rtl/>
              </w:rPr>
              <w:t>שופטת, אב"ד</w:t>
            </w:r>
          </w:p>
        </w:tc>
        <w:tc>
          <w:tcPr>
            <w:tcW w:w="236" w:type="dxa"/>
          </w:tcPr>
          <w:p w:rsidR="007265C0" w:rsidRPr="007265C0" w:rsidRDefault="007265C0" w:rsidP="007265C0">
            <w:pPr>
              <w:spacing w:line="360" w:lineRule="auto"/>
              <w:jc w:val="center"/>
              <w:rPr>
                <w:rFonts w:ascii="David" w:eastAsia="David" w:hAnsi="David"/>
                <w:b/>
                <w:bCs/>
              </w:rPr>
            </w:pPr>
          </w:p>
        </w:tc>
        <w:tc>
          <w:tcPr>
            <w:tcW w:w="2284" w:type="dxa"/>
            <w:tcBorders>
              <w:top w:val="single" w:sz="4" w:space="0" w:color="auto"/>
              <w:left w:val="nil"/>
              <w:bottom w:val="nil"/>
              <w:right w:val="nil"/>
            </w:tcBorders>
            <w:hideMark/>
          </w:tcPr>
          <w:p w:rsidR="007265C0" w:rsidRPr="007265C0" w:rsidRDefault="007265C0" w:rsidP="007265C0">
            <w:pPr>
              <w:keepNext/>
              <w:spacing w:before="240" w:after="60" w:line="360" w:lineRule="auto"/>
              <w:jc w:val="center"/>
              <w:outlineLvl w:val="2"/>
              <w:rPr>
                <w:rFonts w:ascii="David" w:hAnsi="David"/>
                <w:b/>
                <w:bCs/>
                <w:noProof w:val="0"/>
              </w:rPr>
            </w:pPr>
            <w:r w:rsidRPr="007265C0">
              <w:rPr>
                <w:rFonts w:ascii="David" w:hAnsi="David" w:hint="cs"/>
                <w:b/>
                <w:bCs/>
                <w:noProof w:val="0"/>
                <w:rtl/>
              </w:rPr>
              <w:t>מרים ליפשיץ-פריבס, שופטת</w:t>
            </w:r>
          </w:p>
        </w:tc>
        <w:tc>
          <w:tcPr>
            <w:tcW w:w="236" w:type="dxa"/>
          </w:tcPr>
          <w:p w:rsidR="007265C0" w:rsidRPr="007265C0" w:rsidRDefault="007265C0" w:rsidP="007265C0">
            <w:pPr>
              <w:spacing w:line="360" w:lineRule="auto"/>
              <w:jc w:val="center"/>
              <w:rPr>
                <w:rFonts w:ascii="David" w:eastAsia="David" w:hAnsi="David"/>
                <w:b/>
                <w:bCs/>
              </w:rPr>
            </w:pPr>
          </w:p>
        </w:tc>
        <w:tc>
          <w:tcPr>
            <w:tcW w:w="3174" w:type="dxa"/>
            <w:tcBorders>
              <w:top w:val="single" w:sz="4" w:space="0" w:color="auto"/>
              <w:left w:val="nil"/>
              <w:bottom w:val="nil"/>
              <w:right w:val="nil"/>
            </w:tcBorders>
          </w:tcPr>
          <w:p w:rsidR="007265C0" w:rsidRPr="007265C0" w:rsidRDefault="007265C0" w:rsidP="007265C0">
            <w:pPr>
              <w:spacing w:line="360" w:lineRule="auto"/>
              <w:jc w:val="center"/>
              <w:rPr>
                <w:rFonts w:ascii="David" w:eastAsia="David" w:hAnsi="David"/>
                <w:b/>
                <w:bCs/>
                <w:noProof w:val="0"/>
              </w:rPr>
            </w:pPr>
          </w:p>
          <w:p w:rsidR="007265C0" w:rsidRPr="007265C0" w:rsidRDefault="007265C0" w:rsidP="007265C0">
            <w:pPr>
              <w:spacing w:line="360" w:lineRule="auto"/>
              <w:jc w:val="center"/>
              <w:rPr>
                <w:rFonts w:ascii="David" w:eastAsia="David" w:hAnsi="David"/>
                <w:b/>
                <w:bCs/>
                <w:noProof w:val="0"/>
                <w:rtl/>
              </w:rPr>
            </w:pPr>
            <w:r w:rsidRPr="007265C0">
              <w:rPr>
                <w:rFonts w:ascii="David" w:eastAsia="David" w:hAnsi="David" w:hint="cs"/>
                <w:b/>
                <w:bCs/>
                <w:noProof w:val="0"/>
                <w:rtl/>
              </w:rPr>
              <w:t>אילן סלע,</w:t>
            </w:r>
          </w:p>
          <w:p w:rsidR="007265C0" w:rsidRPr="007265C0" w:rsidRDefault="007265C0" w:rsidP="007265C0">
            <w:pPr>
              <w:spacing w:line="360" w:lineRule="auto"/>
              <w:jc w:val="center"/>
              <w:rPr>
                <w:rFonts w:ascii="David" w:eastAsia="David" w:hAnsi="David"/>
                <w:b/>
                <w:bCs/>
                <w:rtl/>
              </w:rPr>
            </w:pPr>
            <w:r w:rsidRPr="007265C0">
              <w:rPr>
                <w:rFonts w:ascii="David" w:eastAsia="David" w:hAnsi="David" w:hint="cs"/>
                <w:b/>
                <w:bCs/>
                <w:noProof w:val="0"/>
                <w:rtl/>
              </w:rPr>
              <w:t>שופט</w:t>
            </w:r>
          </w:p>
        </w:tc>
      </w:tr>
    </w:tbl>
    <w:p w:rsidR="00694556" w:rsidRPr="007265C0" w:rsidRDefault="00694556" w:rsidP="007265C0">
      <w:pPr>
        <w:tabs>
          <w:tab w:val="left" w:pos="2553"/>
        </w:tabs>
        <w:rPr>
          <w:rFonts w:ascii="Arial" w:hAnsi="Arial"/>
          <w:noProof w:val="0"/>
          <w:rtl/>
        </w:rPr>
      </w:pPr>
    </w:p>
    <w:sectPr w:rsidR="00694556" w:rsidRPr="007265C0"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A20A9B">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A20A9B">
      <w:rPr>
        <w:rStyle w:val="ab"/>
        <w:rFonts w:ascii="David" w:hAnsi="David"/>
        <w:rtl/>
      </w:rPr>
      <w:t>13</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20A9B" w:rsidP="00895B5D">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תפ"ח</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5921-12-21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מדינת ישראל נ' זאבי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32606483/1986</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491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49191&amp;lt;/CaseID&amp;gt;_x000d__x000a_        &amp;lt;CaseMonth&amp;gt;12&amp;lt;/CaseMonth&amp;gt;_x000d__x000a_        &amp;lt;CaseYear&amp;gt;2021&amp;lt;/CaseYear&amp;gt;_x000d__x000a_        &amp;lt;CaseNumber&amp;gt;5921&amp;lt;/CaseNumber&amp;gt;_x000d__x000a_        &amp;lt;NumeratorGroupID&amp;gt;1&amp;lt;/NumeratorGroupID&amp;gt;_x000d__x000a_        &amp;lt;CaseName&amp;gt;מדינת ישראל נ&amp;#39; זאבי(עצור/אסיר בפיקוח)&amp;lt;/CaseName&amp;gt;_x000d__x000a_        &amp;lt;CourtID&amp;gt;14&amp;lt;/CourtID&amp;gt;_x000d__x000a_        &amp;lt;CaseTypeID&amp;gt;10077&amp;lt;/CaseTypeID&amp;gt;_x000d__x000a_        &amp;lt;CaseJudgeName&amp;gt;חגית מאק-קלמנוביץ&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5921-12-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12-03T09:54: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חגית&amp;lt;/CaseJudgeFirstName&amp;gt;_x000d__x000a_        &amp;lt;CaseJudgeLastName&amp;gt;מאק-קלמנוביץ&amp;lt;/CaseJudgeLastName&amp;gt;_x000d__x000a_        &amp;lt;JudicalPersonID&amp;gt;059708842@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נשלחה הודעת מזכירות על מצב חירום בעורף.&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tru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49191&amp;lt;/CaseID&amp;gt;_x000d__x000a_        &amp;lt;CaseMonth&amp;gt;12&amp;lt;/CaseMonth&amp;gt;_x000d__x000a_        &amp;lt;CaseYear&amp;gt;2021&amp;lt;/CaseYear&amp;gt;_x000d__x000a_        &amp;lt;CaseNumber&amp;gt;5921&amp;lt;/CaseNumber&amp;gt;_x000d__x000a_        &amp;lt;NumeratorGroupID&amp;gt;1&amp;lt;/NumeratorGroupID&amp;gt;_x000d__x000a_        &amp;lt;CaseName&amp;gt;מדינת ישראל נ&amp;#39; זאבי(עצור/אסיר בפיקוח)&amp;lt;/CaseName&amp;gt;_x000d__x000a_        &amp;lt;CourtID&amp;gt;14&amp;lt;/CourtID&amp;gt;_x000d__x000a_        &amp;lt;CaseTypeID&amp;gt;10077&amp;lt;/CaseTypeID&amp;gt;_x000d__x000a_        &amp;lt;CaseJudgeName&amp;gt;חגית מאק-קלמנוביץ&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5921-12-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CaseNextDeterminingTask&amp;gt;152&amp;lt;/CaseNextDeterminingTask&amp;gt;_x000d__x000a_        &amp;lt;CaseOpenDate&amp;gt;2021-12-03T09:54: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חגית&amp;lt;/CaseJudgeFirstName&amp;gt;_x000d__x000a_        &amp;lt;CaseJudgeLastName&amp;gt;מאק-קלמנוביץ&amp;lt;/CaseJudgeLastName&amp;gt;_x000d__x000a_        &amp;lt;JudicalPersonID&amp;gt;059708842@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נשלחה הודעת מזכירות על מצב חירום בעורף.&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32727&amp;lt;/DecisionID&amp;gt;_x000d__x000a_        &amp;lt;DecisionName&amp;gt;פסק דין  שניתנה ע&amp;quot;י  חגית מאק-קלמנוביץ&amp;lt;/DecisionName&amp;gt;_x000d__x000a_        &amp;lt;DecisionStatusID&amp;gt;1&amp;lt;/DecisionStatusID&amp;gt;_x000d__x000a_        &amp;lt;DecisionStatusChangeDate&amp;gt;2024-05-05T22:31:40.57+03:00&amp;lt;/DecisionStatusChangeDate&amp;gt;_x000d__x000a_        &amp;lt;DecisionSignatureDate&amp;gt;2024-05-05T10:42:00.363+03:00&amp;lt;/DecisionSignatureDate&amp;gt;_x000d__x000a_        &amp;lt;DecisionSignatureUserID&amp;gt;059708842@GOV.IL&amp;lt;/DecisionSignatureUserID&amp;gt;_x000d__x000a_        &amp;lt;DecisionCreateDate&amp;gt;2024-05-05T10:47:32.203+03:00&amp;lt;/DecisionCreateDate&amp;gt;_x000d__x000a_        &amp;lt;DecisionChangeDate&amp;gt;2024-05-05T22:31:40.787+03:00&amp;lt;/DecisionChangeDate&amp;gt;_x000d__x000a_        &amp;lt;DecisionChangeUserID&amp;gt;0597088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96056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088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08842@GOV.IL&amp;lt;/DecisionCreationUserID&amp;gt;_x000d__x000a_        &amp;lt;DecisionDisplayName&amp;gt;פסק דין  שניתנה ע&amp;quot;י  חגית מאק-קלמנוביץ&amp;lt;/DecisionDisplayName&amp;gt;_x000d__x000a_        &amp;lt;IsScanned&amp;gt;false&amp;lt;/IsScanned&amp;gt;_x000d__x000a_        &amp;lt;DecisionSignatureUserName&amp;gt;חגית מאק-קלמנובי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2&amp;lt;/DecisionNumberInCase&amp;gt;_x000d__x000a_      &amp;lt;/dt_Decision&amp;gt;_x000d__x000a_      &amp;lt;dt_DecisionCase diffgr:id=&amp;quot;dt_DecisionCase1&amp;quot; msdata:rowOrder=&amp;quot;0&amp;quot;&amp;gt;_x000d__x000a_        &amp;lt;DecisionID&amp;gt;151432727&amp;lt;/DecisionID&amp;gt;_x000d__x000a_        &amp;lt;CaseID&amp;gt;78849191&amp;lt;/CaseID&amp;gt;_x000d__x000a_        &amp;lt;IsOriginal&amp;gt;true&amp;lt;/IsOriginal&amp;gt;_x000d__x000a_        &amp;lt;IsDeleted&amp;gt;false&amp;lt;/IsDeleted&amp;gt;_x000d__x000a_        &amp;lt;CaseName&amp;gt;מדינת ישראל נ&amp;#39; זאבי(עצור/אסיר בפיקוח)&amp;lt;/CaseName&amp;gt;_x000d__x000a_        &amp;lt;CaseDisplayIdentifier&amp;gt;5921-12-21 תפ&amp;quot;ח&amp;lt;/CaseDisplayIdentifier&amp;gt;_x000d__x000a_      &amp;lt;/dt_DecisionCase&amp;gt;_x000d__x000a_      &amp;lt;dt_DecisionJudgePanel diffgr:id=&amp;quot;dt_DecisionJudgePanel1&amp;quot; msdata:rowOrder=&amp;quot;0&amp;quot;&amp;gt;_x000d__x000a_        &amp;lt;DecisionID&amp;gt;151432727&amp;lt;/DecisionID&amp;gt;_x000d__x000a_        &amp;lt;JudgeID&amp;gt;059708842@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1432727&amp;lt;/DecisionID&amp;gt;_x000d__x000a_        &amp;lt;JudgeID&amp;gt;065893471@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1432727&amp;lt;/DecisionID&amp;gt;_x000d__x000a_        &amp;lt;JudgeID&amp;gt;028149722@GOV.IL&amp;lt;/JudgeID&amp;gt;_x000d__x000a_        &amp;lt;OrdinalNumber&amp;gt;3&amp;lt;/OrdinalNumber&amp;gt;_x000d__x000a_      &amp;lt;/dt_DecisionJudgePanel&amp;gt;_x000d__x000a_    &amp;lt;/DecisionDS&amp;gt;_x000d__x000a_  &amp;lt;/diffgr:diffgram&amp;gt;_x000d__x000a_&amp;lt;/DecisionDS&amp;gt;"/>
    <w:docVar w:name="DecisionID" w:val="151432727"/>
    <w:docVar w:name="docID" w:val="441960563"/>
    <w:docVar w:name="judgeUPN" w:val="059708842@GOV.IL"/>
    <w:docVar w:name="NGCS.TemplateCaseInterestID" w:val="-1"/>
    <w:docVar w:name="NGCS.TemplateCaseTypeID" w:val="10077"/>
    <w:docVar w:name="NGCS.TemplateCourtID" w:val="14"/>
    <w:docVar w:name="NGCS.TemplateProceedingID" w:val="2"/>
    <w:docVar w:name="noteDocID" w:val="441960563"/>
    <w:docVar w:name="WordClientAssemblyName" w:val="NGCS.Decision.ClientWordBL"/>
    <w:docVar w:name="WordClientClassName" w:val="NGCS.Decision.ClientWordBL.JudgePanelSignDecisionClient"/>
  </w:docVars>
  <w:rsids>
    <w:rsidRoot w:val="00694556"/>
    <w:rsid w:val="00000062"/>
    <w:rsid w:val="0000226B"/>
    <w:rsid w:val="000056F0"/>
    <w:rsid w:val="00005C8B"/>
    <w:rsid w:val="0001225E"/>
    <w:rsid w:val="000529D2"/>
    <w:rsid w:val="000564AB"/>
    <w:rsid w:val="00061069"/>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D6254"/>
    <w:rsid w:val="001E75CA"/>
    <w:rsid w:val="002265FF"/>
    <w:rsid w:val="00271B56"/>
    <w:rsid w:val="00272E32"/>
    <w:rsid w:val="002A6DE5"/>
    <w:rsid w:val="002C344E"/>
    <w:rsid w:val="002E75E9"/>
    <w:rsid w:val="002F0B1E"/>
    <w:rsid w:val="00307A6A"/>
    <w:rsid w:val="00307C40"/>
    <w:rsid w:val="00320433"/>
    <w:rsid w:val="003230C7"/>
    <w:rsid w:val="00327E50"/>
    <w:rsid w:val="0033597A"/>
    <w:rsid w:val="00343D89"/>
    <w:rsid w:val="00360FA6"/>
    <w:rsid w:val="00362612"/>
    <w:rsid w:val="0036743F"/>
    <w:rsid w:val="003715DD"/>
    <w:rsid w:val="003823E0"/>
    <w:rsid w:val="003A4521"/>
    <w:rsid w:val="003C28B4"/>
    <w:rsid w:val="003D1C8C"/>
    <w:rsid w:val="003E38C7"/>
    <w:rsid w:val="0040096C"/>
    <w:rsid w:val="00414F1F"/>
    <w:rsid w:val="00422BEE"/>
    <w:rsid w:val="00422DEC"/>
    <w:rsid w:val="00423973"/>
    <w:rsid w:val="00424313"/>
    <w:rsid w:val="0043125D"/>
    <w:rsid w:val="00433D31"/>
    <w:rsid w:val="0043502B"/>
    <w:rsid w:val="00440805"/>
    <w:rsid w:val="004443AC"/>
    <w:rsid w:val="00444B02"/>
    <w:rsid w:val="00447F1A"/>
    <w:rsid w:val="00451E28"/>
    <w:rsid w:val="00457D97"/>
    <w:rsid w:val="0046096B"/>
    <w:rsid w:val="00462C62"/>
    <w:rsid w:val="00465D36"/>
    <w:rsid w:val="00493274"/>
    <w:rsid w:val="004C17EE"/>
    <w:rsid w:val="004C4BDF"/>
    <w:rsid w:val="004C57B7"/>
    <w:rsid w:val="004D1187"/>
    <w:rsid w:val="004D3AA0"/>
    <w:rsid w:val="004E1987"/>
    <w:rsid w:val="004E2E15"/>
    <w:rsid w:val="004E6E3C"/>
    <w:rsid w:val="00520898"/>
    <w:rsid w:val="00523621"/>
    <w:rsid w:val="00524986"/>
    <w:rsid w:val="005268F6"/>
    <w:rsid w:val="00534284"/>
    <w:rsid w:val="0054140F"/>
    <w:rsid w:val="00547DB7"/>
    <w:rsid w:val="005545A4"/>
    <w:rsid w:val="00557717"/>
    <w:rsid w:val="00576A86"/>
    <w:rsid w:val="005F4F09"/>
    <w:rsid w:val="00603F73"/>
    <w:rsid w:val="0061431B"/>
    <w:rsid w:val="00622BAA"/>
    <w:rsid w:val="006306CF"/>
    <w:rsid w:val="00644E9A"/>
    <w:rsid w:val="0067169F"/>
    <w:rsid w:val="00671BD5"/>
    <w:rsid w:val="006805C1"/>
    <w:rsid w:val="00682FE6"/>
    <w:rsid w:val="00686C21"/>
    <w:rsid w:val="006931C1"/>
    <w:rsid w:val="00694556"/>
    <w:rsid w:val="006B5592"/>
    <w:rsid w:val="006C30C5"/>
    <w:rsid w:val="006D3B31"/>
    <w:rsid w:val="006D6ACC"/>
    <w:rsid w:val="006E0D96"/>
    <w:rsid w:val="006E1A53"/>
    <w:rsid w:val="006F56E6"/>
    <w:rsid w:val="00704EDA"/>
    <w:rsid w:val="0070652B"/>
    <w:rsid w:val="00716287"/>
    <w:rsid w:val="00721122"/>
    <w:rsid w:val="00725CEA"/>
    <w:rsid w:val="007265C0"/>
    <w:rsid w:val="00734689"/>
    <w:rsid w:val="007351F7"/>
    <w:rsid w:val="00753019"/>
    <w:rsid w:val="00754801"/>
    <w:rsid w:val="00761441"/>
    <w:rsid w:val="007653E9"/>
    <w:rsid w:val="00795365"/>
    <w:rsid w:val="007A351D"/>
    <w:rsid w:val="007A660D"/>
    <w:rsid w:val="007B36A4"/>
    <w:rsid w:val="007B7765"/>
    <w:rsid w:val="007C2453"/>
    <w:rsid w:val="007C5BDD"/>
    <w:rsid w:val="007D3C63"/>
    <w:rsid w:val="007D45E3"/>
    <w:rsid w:val="007E6115"/>
    <w:rsid w:val="007F4609"/>
    <w:rsid w:val="007F518A"/>
    <w:rsid w:val="00805EFF"/>
    <w:rsid w:val="008060B1"/>
    <w:rsid w:val="00814468"/>
    <w:rsid w:val="008176A1"/>
    <w:rsid w:val="00820005"/>
    <w:rsid w:val="00844318"/>
    <w:rsid w:val="00860102"/>
    <w:rsid w:val="00862F52"/>
    <w:rsid w:val="00863F5D"/>
    <w:rsid w:val="00870890"/>
    <w:rsid w:val="00873602"/>
    <w:rsid w:val="00875D12"/>
    <w:rsid w:val="00876170"/>
    <w:rsid w:val="0088479D"/>
    <w:rsid w:val="00891F42"/>
    <w:rsid w:val="00895B5D"/>
    <w:rsid w:val="00896889"/>
    <w:rsid w:val="008A6E97"/>
    <w:rsid w:val="008C5714"/>
    <w:rsid w:val="008D10B2"/>
    <w:rsid w:val="00903896"/>
    <w:rsid w:val="00906F3D"/>
    <w:rsid w:val="0094424E"/>
    <w:rsid w:val="00955642"/>
    <w:rsid w:val="009622DF"/>
    <w:rsid w:val="0096268E"/>
    <w:rsid w:val="0096493F"/>
    <w:rsid w:val="00967DFF"/>
    <w:rsid w:val="00994341"/>
    <w:rsid w:val="009D1A48"/>
    <w:rsid w:val="009E1CE7"/>
    <w:rsid w:val="009E3355"/>
    <w:rsid w:val="009E461A"/>
    <w:rsid w:val="009E4EA5"/>
    <w:rsid w:val="009F164B"/>
    <w:rsid w:val="009F323C"/>
    <w:rsid w:val="00A10C52"/>
    <w:rsid w:val="00A20A9B"/>
    <w:rsid w:val="00A271BB"/>
    <w:rsid w:val="00A3392B"/>
    <w:rsid w:val="00A37B27"/>
    <w:rsid w:val="00A46717"/>
    <w:rsid w:val="00A637D8"/>
    <w:rsid w:val="00A85E34"/>
    <w:rsid w:val="00A9144F"/>
    <w:rsid w:val="00A93CDA"/>
    <w:rsid w:val="00A94B64"/>
    <w:rsid w:val="00AA3229"/>
    <w:rsid w:val="00AA7596"/>
    <w:rsid w:val="00AB3AE3"/>
    <w:rsid w:val="00AB5E52"/>
    <w:rsid w:val="00AC3B02"/>
    <w:rsid w:val="00AC3B7B"/>
    <w:rsid w:val="00AC5209"/>
    <w:rsid w:val="00AE0E34"/>
    <w:rsid w:val="00AE729E"/>
    <w:rsid w:val="00AE7752"/>
    <w:rsid w:val="00AF7FDA"/>
    <w:rsid w:val="00B51AA0"/>
    <w:rsid w:val="00B5356E"/>
    <w:rsid w:val="00B809AD"/>
    <w:rsid w:val="00B80CBD"/>
    <w:rsid w:val="00B859C5"/>
    <w:rsid w:val="00B86096"/>
    <w:rsid w:val="00B86A50"/>
    <w:rsid w:val="00B964D9"/>
    <w:rsid w:val="00BA0A7C"/>
    <w:rsid w:val="00BA18A7"/>
    <w:rsid w:val="00BA517C"/>
    <w:rsid w:val="00BB3D05"/>
    <w:rsid w:val="00BB53D3"/>
    <w:rsid w:val="00BB73BE"/>
    <w:rsid w:val="00BC2D89"/>
    <w:rsid w:val="00BD6531"/>
    <w:rsid w:val="00BE05B2"/>
    <w:rsid w:val="00BF1908"/>
    <w:rsid w:val="00C22362"/>
    <w:rsid w:val="00C22D93"/>
    <w:rsid w:val="00C23458"/>
    <w:rsid w:val="00C23AC9"/>
    <w:rsid w:val="00C31120"/>
    <w:rsid w:val="00C34482"/>
    <w:rsid w:val="00C43648"/>
    <w:rsid w:val="00C50A9F"/>
    <w:rsid w:val="00C642FA"/>
    <w:rsid w:val="00C6772F"/>
    <w:rsid w:val="00C76B96"/>
    <w:rsid w:val="00C770E3"/>
    <w:rsid w:val="00C82226"/>
    <w:rsid w:val="00C9359C"/>
    <w:rsid w:val="00CA2E54"/>
    <w:rsid w:val="00CA7D7D"/>
    <w:rsid w:val="00CB261B"/>
    <w:rsid w:val="00CC4965"/>
    <w:rsid w:val="00CC7622"/>
    <w:rsid w:val="00CD0632"/>
    <w:rsid w:val="00CD2D33"/>
    <w:rsid w:val="00CD608F"/>
    <w:rsid w:val="00CF4E7B"/>
    <w:rsid w:val="00CF6BB7"/>
    <w:rsid w:val="00D04AA4"/>
    <w:rsid w:val="00D27982"/>
    <w:rsid w:val="00D33B86"/>
    <w:rsid w:val="00D3444E"/>
    <w:rsid w:val="00D44968"/>
    <w:rsid w:val="00D456BC"/>
    <w:rsid w:val="00D53924"/>
    <w:rsid w:val="00D55D0C"/>
    <w:rsid w:val="00D82052"/>
    <w:rsid w:val="00D933B1"/>
    <w:rsid w:val="00D96D8C"/>
    <w:rsid w:val="00DA2495"/>
    <w:rsid w:val="00DA6649"/>
    <w:rsid w:val="00DC1259"/>
    <w:rsid w:val="00DC1BD2"/>
    <w:rsid w:val="00DC2571"/>
    <w:rsid w:val="00DC487C"/>
    <w:rsid w:val="00DD05A8"/>
    <w:rsid w:val="00DD4335"/>
    <w:rsid w:val="00DD4B5A"/>
    <w:rsid w:val="00DE1E7D"/>
    <w:rsid w:val="00DE6BF6"/>
    <w:rsid w:val="00E00709"/>
    <w:rsid w:val="00E1068A"/>
    <w:rsid w:val="00E25884"/>
    <w:rsid w:val="00E25B55"/>
    <w:rsid w:val="00E31C2B"/>
    <w:rsid w:val="00E35532"/>
    <w:rsid w:val="00E5426A"/>
    <w:rsid w:val="00E54642"/>
    <w:rsid w:val="00E568F6"/>
    <w:rsid w:val="00E80CBE"/>
    <w:rsid w:val="00E9269D"/>
    <w:rsid w:val="00E962E3"/>
    <w:rsid w:val="00EB6C79"/>
    <w:rsid w:val="00EC37E9"/>
    <w:rsid w:val="00F038D8"/>
    <w:rsid w:val="00F06995"/>
    <w:rsid w:val="00F07C0A"/>
    <w:rsid w:val="00F1236D"/>
    <w:rsid w:val="00F12D66"/>
    <w:rsid w:val="00F13623"/>
    <w:rsid w:val="00F44D1D"/>
    <w:rsid w:val="00F53C8C"/>
    <w:rsid w:val="00F6300C"/>
    <w:rsid w:val="00F84B6D"/>
    <w:rsid w:val="00F957E8"/>
    <w:rsid w:val="00FA311A"/>
    <w:rsid w:val="00FA5FDA"/>
    <w:rsid w:val="00FB6AB3"/>
    <w:rsid w:val="00FD1419"/>
    <w:rsid w:val="00FD79E4"/>
    <w:rsid w:val="00FE2894"/>
    <w:rsid w:val="00FE71F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semiHidden/>
    <w:unhideWhenUsed/>
    <w:qFormat/>
    <w:rsid w:val="007265C0"/>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86A50"/>
    <w:pPr>
      <w:ind w:left="720"/>
      <w:contextualSpacing/>
    </w:pPr>
  </w:style>
  <w:style w:type="character" w:styleId="Hyperlink">
    <w:name w:val="Hyperlink"/>
    <w:basedOn w:val="a0"/>
    <w:unhideWhenUsed/>
    <w:rsid w:val="00CA2E54"/>
    <w:rPr>
      <w:color w:val="0000FF" w:themeColor="hyperlink"/>
      <w:u w:val="single"/>
    </w:rPr>
  </w:style>
  <w:style w:type="character" w:customStyle="1" w:styleId="30">
    <w:name w:val="כותרת 3 תו"/>
    <w:basedOn w:val="a0"/>
    <w:link w:val="3"/>
    <w:semiHidden/>
    <w:rsid w:val="007265C0"/>
    <w:rPr>
      <w:rFonts w:asciiTheme="majorHAnsi" w:eastAsiaTheme="majorEastAsia" w:hAnsiTheme="majorHAnsi" w:cstheme="majorBidi"/>
      <w:noProof/>
      <w:color w:val="243F60" w:themeColor="accent1" w:themeShade="7F"/>
      <w:sz w:val="24"/>
      <w:szCs w:val="24"/>
    </w:rPr>
  </w:style>
  <w:style w:type="table" w:customStyle="1" w:styleId="10">
    <w:name w:val="רשת טבלה1"/>
    <w:basedOn w:val="a1"/>
    <w:next w:val="a9"/>
    <w:rsid w:val="007265C0"/>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3036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763881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nevo.co.il/case/6189925"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חבר הכנסת יואב סגלוביץ'</FullName>
        <FirstName>חבר הכנסת</FirstName>
        <LastName>יואב סגלוביץ'</LastName>
        <PartyPropertyName/>
        <AuthenticationTypeAndNumber>ת"ז </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265197636</CasePartyID>
        <PartyTypeID>4</PartyTypeID>
        <ActivityStatusID>1</ActivityStatusID>
        <PartyAliasID>101</PartyAliasID>
        <PartyAliasName>עד בית משפט</PartyAliasName>
        <LegalEntityID>81681159</LegalEntityID>
        <CaseLegalEntityID>127429636</CaseLegalEntityID>
        <AuthenticationTypeID>1</AuthenticationTypeID>
        <AuthenticationTypeName>ת"ז</AuthenticationTypeName>
        <IsMainPartyType>true</IsMainPartyType>
        <CaseDisplayIdentifier>5921-12-21</CaseDisplayIdentifier>
        <CaseTypeID>10077</CaseTypeID>
        <CaseTypeName>תיק פשעים חמורים (תפ"ח)</CaseTypeName>
        <CaseName>מדינת ישראל נ' זאבי(עצור/אסיר בפיקוח)</CaseName>
        <FullAddress>יזומן ע"י הסנגור ירושלים </FullAddress>
        <MotionID>0</MotionID>
        <CasePleaID>0</CasePleaID>
        <LinkedCaseID>0</LinkedCaseID>
        <CasePartyCategoryID>1</CasePartyCategoryID>
        <LegalEntityAddressID>88855677</LegalEntityAddressID>
        <PleaTypeID>8</PleaTypeID>
        <GroupPartyAlias/>
        <IsConverted>false</IsConverted>
        <LegalEntityNameID>96022834</LegalEntityNameID>
        <RepresentatedNamesOfAssistant/>
        <LegalEntityTypeID>1</LegalEntityTypeID>
        <IsVerdictExists>false</IsVerdictExists>
        <IsAsirAzir>false</IsAsirAzir>
        <IsPublicationProhibited>false</IsPublicationProhibited>
        <PublicationProhibitedFullName>חבר הכנסת יואב סגלוביץ'</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247062997</CasePartyID>
        <PartyTypeID>3</PartyTypeID>
        <ActivityStatusID>1</ActivityStatusID>
        <LegalEntityID>2900</LegalEntityID>
        <CaseLegalEntityID>121696365</CaseLegalEntityID>
        <AssistantRoleID>33</AssistantRoleID>
        <AuthenticationTypeID>13</AuthenticationTypeID>
        <AuthenticationTypeName>משרדי ממשלה</AuthenticationTypeName>
        <LegalEntityNumber>500103866</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איגור גלידר</FullName>
        <FirstName>איגור</FirstName>
        <LastName>גלידר</LastName>
        <PartyPropertyName/>
        <AuthenticationTypeAndNumber>מ.ר. 33861</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248293019</CasePartyID>
        <PartyTypeID>2</PartyTypeID>
        <ActivityStatusID>1</ActivityStatusID>
        <PartyAliasID>105</PartyAliasID>
        <PartyAliasName>בא כוח מסייעים</PartyAliasName>
        <LegalEntityID>407362</LegalEntityID>
        <CaseLegalEntityID>122073283</CaseLegalEntityID>
        <AssistantRoleID>53</AssistantRoleID>
        <AuthenticationTypeID>4</AuthenticationTypeID>
        <AuthenticationTypeName>מ.ר.</AuthenticationTypeName>
        <LegalEntityNumber>33861</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שמריהו לוין 24 חיפה </FullAddress>
        <MotionID>0</MotionID>
        <CasePleaID>0</CasePleaID>
        <FatherName xml:space="preserve">        </FatherName>
        <LinkedCaseID>0</LinkedCaseID>
        <PartyID>1</PartyID>
        <CasePartyCategoryID>2</CasePartyCategoryID>
        <LegalEntityAddressID>74021190</LegalEntityAddressID>
        <PleaTypeID>8</PleaTypeID>
        <LawyerOfficeName>גלידר, שרגל - משרד עו"ד</LawyerOfficeName>
        <LawyerOfficeID>7551560</LawyerOfficeID>
        <GroupPartyAlias/>
        <IsConverted>false</IsConverted>
        <LegalEntityNameID>28346</LegalEntityNameID>
        <RepresentatedNamesOfAssistant/>
        <LegalEntityTypeID>4</LegalEntityTypeID>
        <IsVerdictExists>false</IsVerdictExists>
        <IsAsirAzir>false</IsAsirAzir>
        <IsPublicationProhibited>false</IsPublicationProhibited>
        <PublicationProhibitedFullName>איגור גלידר</PublicationProhibitedFullName>
      </CaseParties>
      <CaseParties>
        <PartyTypeName>מסייע</PartyTypeName>
        <ProceedingType>כתב טענות עיקרי</ProceedingType>
        <PleaName>כתב אישום</PleaName>
        <PartyBelonging> - </PartyBelonging>
        <RoleName>מורשה עיון</RoleName>
        <IsSubProceeding>FALSE</IsSubProceeding>
        <FullName>ברוך שרביט</FullName>
        <FirstName>ברוך</FirstName>
        <LastName>שרביט</LastName>
        <PartyPropertyName/>
        <AuthenticationTypeAndNumber>ת"ז </AuthenticationTypeAndNumber>
        <RepresentatedOrRepresentativesNames>איגור גלידר</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248292908</CasePartyID>
        <PartyTypeID>3</PartyTypeID>
        <ActivityStatusID>1</ActivityStatusID>
        <LegalEntityID>80857613</LegalEntityID>
        <CaseLegalEntityID>122074709</CaseLegalEntityID>
        <AssistantRoleID>53</AssistantRoleID>
        <AuthenticationTypeID>1</AuthenticationTypeID>
        <AuthenticationTypeName>ת"ז</AuthenticationTypeName>
        <IsMainPartyType>true</IsMainPartyType>
        <CaseDisplayIdentifier>5921-12-21</CaseDisplayIdentifier>
        <CaseTypeID>10077</CaseTypeID>
        <CaseTypeName>תיק פשעים חמורים (תפ"ח)</CaseTypeName>
        <CaseName>מדינת ישראל נ' זאבי(עצור/אסיר בפיקוח)</CaseName>
        <FullAddress/>
        <MotionID>0</MotionID>
        <CasePleaID>0</CasePleaID>
        <LinkedCaseID>0</LinkedCaseID>
        <PartyID>1</PartyID>
        <CasePartyCategoryID>2</CasePartyCategoryID>
        <PleaTypeID>8</PleaTypeID>
        <GroupPartyAlias/>
        <IsConverted>false</IsConverted>
        <LegalEntityNameID>93988184</LegalEntityNameID>
        <RepresentatedNamesOfAssistant/>
        <LegalEntityTypeID>1</LegalEntityTypeID>
        <IsVerdictExists>false</IsVerdictExists>
        <IsAsirAzir>false</IsAsirAzir>
        <IsPublicationProhibited>false</IsPublicationProhibited>
        <PublicationProhibitedFullName>ברוך שרביט</PublicationProhibitedFullName>
      </CasePartie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249223325</CasePartyID>
        <PartyTypeID>3</PartyTypeID>
        <ActivityStatusID>1</ActivityStatusID>
        <LegalEntityID>80902125</LegalEntityID>
        <CaseLegalEntityID>122352363</CaseLegalEntityID>
        <AssistantRoleID>27</AssistantRoleID>
        <AuthenticationTypeID>1</AuthenticationTypeID>
        <AuthenticationTypeName>ת"ז</AuthenticationTypeName>
        <IsMainPartyType>true</IsMainPartyType>
        <CaseDisplayIdentifier>5921-12-21</CaseDisplayIdentifier>
        <CaseTypeID>10077</CaseTypeID>
        <CaseTypeName>תיק פשעים חמורים (תפ"ח)</CaseTypeName>
        <CaseName>מדינת ישראל נ' זאבי(עצור/אסיר בפיקוח)</CaseName>
        <FullAddress>. ירושלים </FullAddress>
        <MotionID>0</MotionID>
        <CasePleaID>0</CasePleaID>
        <LinkedCaseID>0</LinkedCaseID>
        <PartyID>1</PartyID>
        <CasePartyCategoryID>2</CasePartyCategoryID>
        <LegalEntityAddressID>87298448</LegalEntityAddressID>
        <PleaTypeID>8</PleaTypeID>
        <GroupPartyAlias/>
        <IsConverted>false</IsConverted>
        <LegalEntityNameID>94095775</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243269254</CasePartyID>
        <PartyTypeID>3</PartyTypeID>
        <ActivityStatusID>1</ActivityStatusID>
        <LegalEntityID>7551403</LegalEntityID>
        <CaseLegalEntityID>120447693</CaseLegalEntityID>
        <AssistantRoleID>13</AssistantRoleID>
        <AuthenticationTypeID>13</AuthenticationTypeID>
        <AuthenticationTypeName>משרדי ממשלה</AuthenticationTypeName>
        <LegalEntityNumber>513442041</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רצון דרחי</FullName>
        <FirstName>רצון</FirstName>
        <LastName>דרחי</LastName>
        <PartyPropertyName/>
        <AuthenticationTypeAndNumber>מ.ר. 21222</AuthenticationTypeAndNumber>
        <RepresentatedOrRepresentativesNames>בנימין זאבי</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244528948</CasePartyID>
        <PartyTypeID>2</PartyTypeID>
        <ActivityStatusID>1</ActivityStatusID>
        <PartyAliasID>32</PartyAliasID>
        <PartyAliasName>בא כוח נאשמים</PartyAliasName>
        <LegalEntityID>384069</LegalEntityID>
        <CaseLegalEntityID>120852963</CaseLegalEntityID>
        <AuthenticationTypeID>4</AuthenticationTypeID>
        <AuthenticationTypeName>מ.ר.</AuthenticationTypeName>
        <LegalEntityNumber>21222</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שד' שאול המלך 39 תל אביב -יפו בית הדר דפנה</FullAddress>
        <EmailAddress>ratson@darhi-law.co.il</EmailAddress>
        <MotionID>0</MotionID>
        <CasePleaID>0</CasePleaID>
        <LinkedCaseID>0</LinkedCaseID>
        <PartyID>2</PartyID>
        <CasePartyCategoryID>2</CasePartyCategoryID>
        <LegalEntityAddressID>72314576</LegalEntityAddressID>
        <LegalEntityEmailAddressID>68182628</LegalEntityEmailAddressID>
        <PleaTypeID>8</PleaTypeID>
        <LawyerOfficeName>משרד עו"ד: רצון דרחי</LawyerOfficeName>
        <LawyerOfficeID>424713</LawyerOfficeID>
        <GroupPartyAlias/>
        <IsConverted>false</IsConverted>
        <LegalEntityNameID>5053</LegalEntityNameID>
        <RepresentatedNamesOfAssistant/>
        <LegalEntityTypeID>4</LegalEntityTypeID>
        <IsVerdictExists>false</IsVerdictExists>
        <IsAsirAzir>false</IsAsirAzir>
        <IsPublicationProhibited>false</IsPublicationProhibited>
        <PublicationProhibitedFullName>רצון דרחי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ארליך</FullName>
        <FirstName>עופר</FirstName>
        <LastName>ארליך</LastName>
        <PartyPropertyName/>
        <AuthenticationTypeAndNumber>מ.ר. 91210</AuthenticationTypeAndNumber>
        <RepresentatedOrRepresentativesNames>בנימין זאבי</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251790870</CasePartyID>
        <PartyTypeID>2</PartyTypeID>
        <ActivityStatusID>1</ActivityStatusID>
        <PartyAliasID>32</PartyAliasID>
        <PartyAliasName>בא כוח נאשמים</PartyAliasName>
        <LegalEntityID>80028051</LegalEntityID>
        <CaseLegalEntityID>123144124</CaseLegalEntityID>
        <AuthenticationTypeID>4</AuthenticationTypeID>
        <AuthenticationTypeName>מ.ר.</AuthenticationTypeName>
        <LegalEntityNumber>91210</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המלך ג'ורג' 16 ירושלים כניסה ג</FullAddress>
        <EmailAddress>stauberm12@gmail.com</EmailAddress>
        <MotionID>0</MotionID>
        <CasePleaID>0</CasePleaID>
        <LinkedCaseID>0</LinkedCaseID>
        <PartyID>2</PartyID>
        <CasePartyCategoryID>2</CasePartyCategoryID>
        <LegalEntityAddressID>84913576</LegalEntityAddressID>
        <LegalEntityEmailAddressID>67910173</LegalEntityEmailAddressID>
        <PleaTypeID>8</PleaTypeID>
        <LawyerOfficeName>משרד עו"ד מנחם שטאובר</LawyerOfficeName>
        <LawyerOfficeID>75515603</LawyerOfficeID>
        <GroupPartyAlias/>
        <IsConverted>false</IsConverted>
        <LegalEntityNameID>92006529</LegalEntityNameID>
        <RepresentatedNamesOfAssistant/>
        <LegalEntityTypeID>4</LegalEntityTypeID>
        <IsVerdictExists>false</IsVerdictExists>
        <IsAsirAzir>false</IsAsirAzir>
        <IsPublicationProhibited>false</IsPublicationProhibited>
        <PublicationProhibitedFullName>עופר ארליך</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מנחם שטאובר</FullName>
        <FirstName>מנחם</FirstName>
        <LastName>שטאובר</LastName>
        <PartyPropertyName/>
        <AuthenticationTypeAndNumber>מ.ר. 75113</AuthenticationTypeAndNumber>
        <RepresentatedOrRepresentativesNames>בנימין זאבי</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251790904</CasePartyID>
        <PartyTypeID>2</PartyTypeID>
        <ActivityStatusID>1</ActivityStatusID>
        <PartyAliasID>32</PartyAliasID>
        <PartyAliasName>בא כוח נאשמים</PartyAliasName>
        <LegalEntityID>75515602</LegalEntityID>
        <CaseLegalEntityID>123144132</CaseLegalEntityID>
        <AuthenticationTypeID>4</AuthenticationTypeID>
        <AuthenticationTypeName>מ.ר.</AuthenticationTypeName>
        <LegalEntityNumber>75113</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המלך ג'ורג' 16 ירושלים כניסה ג</FullAddress>
        <MotionID>0</MotionID>
        <CasePleaID>0</CasePleaID>
        <LinkedCaseID>0</LinkedCaseID>
        <PartyID>2</PartyID>
        <CasePartyCategoryID>2</CasePartyCategoryID>
        <LegalEntityAddressID>84913576</LegalEntityAddressID>
        <PleaTypeID>8</PleaTypeID>
        <LawyerOfficeName>משרד עו"ד מנחם שטאובר</LawyerOfficeName>
        <LawyerOfficeID>75515603</LawyerOfficeID>
        <GroupPartyAlias/>
        <IsConverted>false</IsConverted>
        <LegalEntityNameID>82083906</LegalEntityNameID>
        <RepresentatedNamesOfAssistant/>
        <LegalEntityTypeID>4</LegalEntityTypeID>
        <IsVerdictExists>false</IsVerdictExists>
        <IsAsirAzir>false</IsAsirAzir>
        <IsPublicationProhibited>false</IsPublicationProhibited>
        <PublicationProhibitedFullName>מנחם שטאובר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234236283</CasePartyID>
        <PartyTypeID>1</PartyTypeID>
        <ActivityStatusID>1</ActivityStatusID>
        <PartyAliasID>11</PartyAliasID>
        <PartyAliasName>מאשימה</PartyAliasName>
        <OrdinalNumber>1</OrdinalNumber>
        <LegalEntityID>4</LegalEntityID>
        <CaseLegalEntityID>117727094</CaseLegalEntityID>
        <AuthenticationTypeID>41</AuthenticationTypeID>
        <AuthenticationTypeName>מדינת ישראל </AuthenticationTypeName>
        <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234236284</CasePartyID>
        <PartyTypeID>2</PartyTypeID>
        <ActivityStatusID>1</ActivityStatusID>
        <PartyAliasID>30</PartyAliasID>
        <PartyAliasName>בא כוח מאשימה</PartyAliasName>
        <OrdinalNumber>1</OrdinalNumber>
        <LegalEntityID>401511</LegalEntityID>
        <CaseLegalEntityID>117727095</CaseLegalEntityID>
        <AuthenticationTypeID>4</AuthenticationTypeID>
        <AuthenticationTypeName>מ.ר.</AuthenticationTypeName>
        <LegalEntityNumber>23060</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בנימין זאבי (עצור/אסיר בפיקוח)</FullName>
        <FirstName>בנימין</FirstName>
        <LastName>זאבי</LastName>
        <PartyPropertyID>26</PartyPropertyID>
        <PartyPropertyName/>
        <AuthenticationTypeAndNumber>ת"ז 051381408</AuthenticationTypeAndNumber>
        <RepresentatedOrRepresentativesNames>עופר ארליך, רצון דרחי, מנחם שטאובר</RepresentatedOrRepresentativesNames>
        <RepresentatedOrRepresentativesCount>3</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234236285</CasePartyID>
        <PartyTypeID>1</PartyTypeID>
        <ActivityStatusID>1</ActivityStatusID>
        <PartyAliasID>13</PartyAliasID>
        <PartyAliasName>נאשם</PartyAliasName>
        <OrdinalNumber>1</OrdinalNumber>
        <LegalEntityID>46285818</LegalEntityID>
        <CaseLegalEntityID>117727096</CaseLegalEntityID>
        <AuthenticationTypeID>1</AuthenticationTypeID>
        <AuthenticationTypeName>ת"ז</AuthenticationTypeName>
        <LegalEntityNumber>051381408</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שד' חמד  12/1 ירושלים </FullAddress>
        <MotionID>0</MotionID>
        <CasePleaID>0</CasePleaID>
        <BirthDate>1952-11-09T08:08:47+02:00</BirthDate>
        <FatherName>רחבעם</FatherName>
        <LinkedCaseID>0</LinkedCaseID>
        <PartyID>2</PartyID>
        <CasePartyCategoryID>2</CasePartyCategoryID>
        <LegalEntityAddressID>85898482</LegalEntityAddressID>
        <PleaTypeID>8</PleaTypeID>
        <GroupPartyAlias>נאשמים</GroupPartyAlias>
        <IsConverted>false</IsConverted>
        <LegalEntityRegisteredNameID>2723025</LegalEntityRegisteredNameID>
        <LegalEntityNameID>92326426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בנימין זאבי (עצור/אסיר בפיקוח)</PublicationProhibitedFullName>
      </CaseParties>
    </CasePartiesSelectionDS>
    <DecisionName>פסק דין  שניתנה ע"י  חגית מאק-קלמנוביץ</DecisionName>
    <CourtDisplayName>בית המשפט המחוזי בירושלים</CourtDisplayName>
    <IsCaseJudgePanel>true</IsCaseJudgePanel>
    <DecisionSignatureDate>2024-05-05T10:42:00.3647902+03:00</DecisionSignatureDate>
    <OpenCaseDate>2021-12-03T09:54:00+02:00</OpenCaseDate>
    <ExternalCaseNumber>32606483/1986</ExternalCaseNumber>
    <DecisionTypeID>2</DecisionTypeID>
    <DecisionSignatureUserName>חגית מאק-קלמנוביץ</DecisionSignatureUserName>
    <DecisionSignatureDateHebrew>2024-05-05T10:42:00.3647902+03:00</DecisionSignatureDateHebrew>
    <DecisionWriterID>059708842@GOV.IL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מדינת ישראל נ' זאבי(עצור/אסיר בפיקוח)</CaseName>
    <DecisionNumberInCase>42</DecisionNumberInCase>
  </dt_Decision>
  <dt_DecisionCase>
    <DecisionID>0</DecisionID>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חבר הכנסת יואב סגלוביץ'</FullName>
        <FirstName>חבר הכנסת</FirstName>
        <LastName>יואב סגלוביץ'</LastName>
        <PartyPropertyName/>
        <AuthenticationTypeAndNumber>ת"ז </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265197636</CasePartyID>
        <PartyTypeID>4</PartyTypeID>
        <ActivityStatusID>1</ActivityStatusID>
        <PartyAliasID>101</PartyAliasID>
        <PartyAliasName>עד בית משפט</PartyAliasName>
        <LegalEntityID>81681159</LegalEntityID>
        <CaseLegalEntityID>127429636</CaseLegalEntityID>
        <AuthenticationTypeID>1</AuthenticationTypeID>
        <AuthenticationTypeName>ת"ז</AuthenticationTypeName>
        <IsMainPartyType>true</IsMainPartyType>
        <CaseDisplayIdentifier>5921-12-21</CaseDisplayIdentifier>
        <CaseTypeID>10077</CaseTypeID>
        <CaseTypeName>תיק פשעים חמורים (תפ"ח)</CaseTypeName>
        <CaseName>מדינת ישראל נ' זאבי(עצור/אסיר בפיקוח)</CaseName>
        <FullAddress>יזומן ע"י הסנגור ירושלים </FullAddress>
        <MotionID>0</MotionID>
        <CasePleaID>0</CasePleaID>
        <LinkedCaseID>0</LinkedCaseID>
        <CasePartyCategoryID>1</CasePartyCategoryID>
        <LegalEntityAddressID>88855677</LegalEntityAddressID>
        <PleaTypeID>8</PleaTypeID>
        <GroupPartyAlias/>
        <IsConverted>false</IsConverted>
        <LegalEntityNameID>96022834</LegalEntityNameID>
        <RepresentatedNamesOfAssistant/>
        <LegalEntityTypeID>1</LegalEntityTypeID>
        <IsVerdictExists>false</IsVerdictExists>
        <IsAsirAzir>false</IsAsirAzir>
        <IsPublicationProhibited>false</IsPublicationProhibited>
        <PublicationProhibitedFullName>חבר הכנסת יואב סגלוביץ'</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247062997</CasePartyID>
        <PartyTypeID>3</PartyTypeID>
        <ActivityStatusID>1</ActivityStatusID>
        <LegalEntityID>2900</LegalEntityID>
        <CaseLegalEntityID>121696365</CaseLegalEntityID>
        <AssistantRoleID>33</AssistantRoleID>
        <AuthenticationTypeID>13</AuthenticationTypeID>
        <AuthenticationTypeName>משרדי ממשלה</AuthenticationTypeName>
        <LegalEntityNumber>500103866</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בא כוח</PartyTypeName>
        <ProceedingType>כתב טענות עיקרי</ProceedingType>
        <PleaName>כתב אישום</PleaName>
        <PartyBelonging> - </PartyBelonging>
        <RoleName>בא כוח מסייעים</RoleName>
        <IsSubProceeding>FALSE</IsSubProceeding>
        <FullName>איגור גלידר</FullName>
        <FirstName>איגור</FirstName>
        <LastName>גלידר</LastName>
        <PartyPropertyName/>
        <AuthenticationTypeAndNumber>מ.ר. 33861</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248293019</CasePartyID>
        <PartyTypeID>2</PartyTypeID>
        <ActivityStatusID>1</ActivityStatusID>
        <PartyAliasID>105</PartyAliasID>
        <PartyAliasName>בא כוח מסייעים</PartyAliasName>
        <LegalEntityID>407362</LegalEntityID>
        <CaseLegalEntityID>122073283</CaseLegalEntityID>
        <AssistantRoleID>53</AssistantRoleID>
        <AuthenticationTypeID>4</AuthenticationTypeID>
        <AuthenticationTypeName>מ.ר.</AuthenticationTypeName>
        <LegalEntityNumber>33861</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שמריהו לוין 24 חיפה </FullAddress>
        <MotionID>0</MotionID>
        <CasePleaID>0</CasePleaID>
        <FatherName xml:space="preserve">        </FatherName>
        <LinkedCaseID>0</LinkedCaseID>
        <PartyID>1</PartyID>
        <CasePartyCategoryID>2</CasePartyCategoryID>
        <LegalEntityAddressID>74021190</LegalEntityAddressID>
        <PleaTypeID>8</PleaTypeID>
        <LawyerOfficeName>גלידר, שרגל - משרד עו"ד</LawyerOfficeName>
        <LawyerOfficeID>7551560</LawyerOfficeID>
        <GroupPartyAlias/>
        <IsConverted>false</IsConverted>
        <LegalEntityNameID>28346</LegalEntityNameID>
        <RepresentatedNamesOfAssistant/>
        <LegalEntityTypeID>4</LegalEntityTypeID>
        <IsVerdictExists>false</IsVerdictExists>
        <IsAsirAzir>false</IsAsirAzir>
        <IsPublicationProhibited>false</IsPublicationProhibited>
        <PublicationProhibitedFullName>איגור גלידר</PublicationProhibitedFullName>
      </CaseParties>
      <CaseParties>
        <PartyTypeName>מסייע</PartyTypeName>
        <ProceedingType>כתב טענות עיקרי</ProceedingType>
        <PleaName>כתב אישום</PleaName>
        <PartyBelonging> - </PartyBelonging>
        <RoleName>מורשה עיון</RoleName>
        <IsSubProceeding>FALSE</IsSubProceeding>
        <FullName>ברוך שרביט</FullName>
        <FirstName>ברוך</FirstName>
        <LastName>שרביט</LastName>
        <PartyPropertyName/>
        <AuthenticationTypeAndNumber>ת"ז </AuthenticationTypeAndNumber>
        <RepresentatedOrRepresentativesNames>איגור גלידר</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248292908</CasePartyID>
        <PartyTypeID>3</PartyTypeID>
        <ActivityStatusID>1</ActivityStatusID>
        <LegalEntityID>80857613</LegalEntityID>
        <CaseLegalEntityID>122074709</CaseLegalEntityID>
        <AssistantRoleID>53</AssistantRoleID>
        <AuthenticationTypeID>1</AuthenticationTypeID>
        <AuthenticationTypeName>ת"ז</AuthenticationTypeName>
        <IsMainPartyType>true</IsMainPartyType>
        <CaseDisplayIdentifier>5921-12-21</CaseDisplayIdentifier>
        <CaseTypeID>10077</CaseTypeID>
        <CaseTypeName>תיק פשעים חמורים (תפ"ח)</CaseTypeName>
        <CaseName>מדינת ישראל נ' זאבי(עצור/אסיר בפיקוח)</CaseName>
        <FullAddress/>
        <MotionID>0</MotionID>
        <CasePleaID>0</CasePleaID>
        <LinkedCaseID>0</LinkedCaseID>
        <PartyID>1</PartyID>
        <CasePartyCategoryID>2</CasePartyCategoryID>
        <PleaTypeID>8</PleaTypeID>
        <GroupPartyAlias/>
        <IsConverted>false</IsConverted>
        <LegalEntityNameID>93988184</LegalEntityNameID>
        <RepresentatedNamesOfAssistant/>
        <LegalEntityTypeID>1</LegalEntityTypeID>
        <IsVerdictExists>false</IsVerdictExists>
        <IsAsirAzir>false</IsAsirAzir>
        <IsPublicationProhibited>false</IsPublicationProhibited>
        <PublicationProhibitedFullName>ברוך שרביט</PublicationProhibitedFullName>
      </CasePartie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249223325</CasePartyID>
        <PartyTypeID>3</PartyTypeID>
        <ActivityStatusID>1</ActivityStatusID>
        <LegalEntityID>80902125</LegalEntityID>
        <CaseLegalEntityID>122352363</CaseLegalEntityID>
        <AssistantRoleID>27</AssistantRoleID>
        <AuthenticationTypeID>1</AuthenticationTypeID>
        <AuthenticationTypeName>ת"ז</AuthenticationTypeName>
        <IsMainPartyType>true</IsMainPartyType>
        <CaseDisplayIdentifier>5921-12-21</CaseDisplayIdentifier>
        <CaseTypeID>10077</CaseTypeID>
        <CaseTypeName>תיק פשעים חמורים (תפ"ח)</CaseTypeName>
        <CaseName>מדינת ישראל נ' זאבי(עצור/אסיר בפיקוח)</CaseName>
        <FullAddress>. ירושלים </FullAddress>
        <MotionID>0</MotionID>
        <CasePleaID>0</CasePleaID>
        <LinkedCaseID>0</LinkedCaseID>
        <PartyID>1</PartyID>
        <CasePartyCategoryID>2</CasePartyCategoryID>
        <LegalEntityAddressID>87298448</LegalEntityAddressID>
        <PleaTypeID>8</PleaTypeID>
        <GroupPartyAlias/>
        <IsConverted>false</IsConverted>
        <LegalEntityNameID>94095775</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243269254</CasePartyID>
        <PartyTypeID>3</PartyTypeID>
        <ActivityStatusID>1</ActivityStatusID>
        <LegalEntityID>7551403</LegalEntityID>
        <CaseLegalEntityID>120447693</CaseLegalEntityID>
        <AssistantRoleID>13</AssistantRoleID>
        <AuthenticationTypeID>13</AuthenticationTypeID>
        <AuthenticationTypeName>משרדי ממשלה</AuthenticationTypeName>
        <LegalEntityNumber>513442041</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רצון דרחי</FullName>
        <FirstName>רצון</FirstName>
        <LastName>דרחי</LastName>
        <PartyPropertyName/>
        <AuthenticationTypeAndNumber>מ.ר. 21222</AuthenticationTypeAndNumber>
        <RepresentatedOrRepresentativesNames>בנימין זאבי</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244528948</CasePartyID>
        <PartyTypeID>2</PartyTypeID>
        <ActivityStatusID>1</ActivityStatusID>
        <PartyAliasID>32</PartyAliasID>
        <PartyAliasName>בא כוח נאשמים</PartyAliasName>
        <LegalEntityID>384069</LegalEntityID>
        <CaseLegalEntityID>120852963</CaseLegalEntityID>
        <AuthenticationTypeID>4</AuthenticationTypeID>
        <AuthenticationTypeName>מ.ר.</AuthenticationTypeName>
        <LegalEntityNumber>21222</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שד' שאול המלך 39 תל אביב -יפו בית הדר דפנה</FullAddress>
        <EmailAddress>ratson@darhi-law.co.il</EmailAddress>
        <MotionID>0</MotionID>
        <CasePleaID>0</CasePleaID>
        <LinkedCaseID>0</LinkedCaseID>
        <PartyID>2</PartyID>
        <CasePartyCategoryID>2</CasePartyCategoryID>
        <LegalEntityAddressID>72314576</LegalEntityAddressID>
        <LegalEntityEmailAddressID>68182628</LegalEntityEmailAddressID>
        <PleaTypeID>8</PleaTypeID>
        <LawyerOfficeName>משרד עו"ד: רצון דרחי</LawyerOfficeName>
        <LawyerOfficeID>424713</LawyerOfficeID>
        <GroupPartyAlias/>
        <IsConverted>false</IsConverted>
        <LegalEntityNameID>5053</LegalEntityNameID>
        <RepresentatedNamesOfAssistant/>
        <LegalEntityTypeID>4</LegalEntityTypeID>
        <IsVerdictExists>false</IsVerdictExists>
        <IsAsirAzir>false</IsAsirAzir>
        <IsPublicationProhibited>false</IsPublicationProhibited>
        <PublicationProhibitedFullName>רצון דרחי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ארליך</FullName>
        <FirstName>עופר</FirstName>
        <LastName>ארליך</LastName>
        <PartyPropertyName/>
        <AuthenticationTypeAndNumber>מ.ר. 91210</AuthenticationTypeAndNumber>
        <RepresentatedOrRepresentativesNames>בנימין זאבי</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251790870</CasePartyID>
        <PartyTypeID>2</PartyTypeID>
        <ActivityStatusID>1</ActivityStatusID>
        <PartyAliasID>32</PartyAliasID>
        <PartyAliasName>בא כוח נאשמים</PartyAliasName>
        <LegalEntityID>80028051</LegalEntityID>
        <CaseLegalEntityID>123144124</CaseLegalEntityID>
        <AuthenticationTypeID>4</AuthenticationTypeID>
        <AuthenticationTypeName>מ.ר.</AuthenticationTypeName>
        <LegalEntityNumber>91210</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המלך ג'ורג' 16 ירושלים כניסה ג</FullAddress>
        <EmailAddress>stauberm12@gmail.com</EmailAddress>
        <MotionID>0</MotionID>
        <CasePleaID>0</CasePleaID>
        <LinkedCaseID>0</LinkedCaseID>
        <PartyID>2</PartyID>
        <CasePartyCategoryID>2</CasePartyCategoryID>
        <LegalEntityAddressID>84913576</LegalEntityAddressID>
        <LegalEntityEmailAddressID>67910173</LegalEntityEmailAddressID>
        <PleaTypeID>8</PleaTypeID>
        <LawyerOfficeName>משרד עו"ד מנחם שטאובר</LawyerOfficeName>
        <LawyerOfficeID>75515603</LawyerOfficeID>
        <GroupPartyAlias/>
        <IsConverted>false</IsConverted>
        <LegalEntityNameID>92006529</LegalEntityNameID>
        <RepresentatedNamesOfAssistant/>
        <LegalEntityTypeID>4</LegalEntityTypeID>
        <IsVerdictExists>false</IsVerdictExists>
        <IsAsirAzir>false</IsAsirAzir>
        <IsPublicationProhibited>false</IsPublicationProhibited>
        <PublicationProhibitedFullName>עופר ארליך</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מנחם שטאובר</FullName>
        <FirstName>מנחם</FirstName>
        <LastName>שטאובר</LastName>
        <PartyPropertyName/>
        <AuthenticationTypeAndNumber>מ.ר. 75113</AuthenticationTypeAndNumber>
        <RepresentatedOrRepresentativesNames>בנימין זאבי</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251790904</CasePartyID>
        <PartyTypeID>2</PartyTypeID>
        <ActivityStatusID>1</ActivityStatusID>
        <PartyAliasID>32</PartyAliasID>
        <PartyAliasName>בא כוח נאשמים</PartyAliasName>
        <LegalEntityID>75515602</LegalEntityID>
        <CaseLegalEntityID>123144132</CaseLegalEntityID>
        <AuthenticationTypeID>4</AuthenticationTypeID>
        <AuthenticationTypeName>מ.ר.</AuthenticationTypeName>
        <LegalEntityNumber>75113</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המלך ג'ורג' 16 ירושלים כניסה ג</FullAddress>
        <MotionID>0</MotionID>
        <CasePleaID>0</CasePleaID>
        <LinkedCaseID>0</LinkedCaseID>
        <PartyID>2</PartyID>
        <CasePartyCategoryID>2</CasePartyCategoryID>
        <LegalEntityAddressID>84913576</LegalEntityAddressID>
        <PleaTypeID>8</PleaTypeID>
        <LawyerOfficeName>משרד עו"ד מנחם שטאובר</LawyerOfficeName>
        <LawyerOfficeID>75515603</LawyerOfficeID>
        <GroupPartyAlias/>
        <IsConverted>false</IsConverted>
        <LegalEntityNameID>82083906</LegalEntityNameID>
        <RepresentatedNamesOfAssistant/>
        <LegalEntityTypeID>4</LegalEntityTypeID>
        <IsVerdictExists>false</IsVerdictExists>
        <IsAsirAzir>false</IsAsirAzir>
        <IsPublicationProhibited>false</IsPublicationProhibited>
        <PublicationProhibitedFullName>מנחם שטאובר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234236283</CasePartyID>
        <PartyTypeID>1</PartyTypeID>
        <ActivityStatusID>1</ActivityStatusID>
        <PartyAliasID>11</PartyAliasID>
        <PartyAliasName>מאשימה</PartyAliasName>
        <OrdinalNumber>1</OrdinalNumber>
        <LegalEntityID>4</LegalEntityID>
        <CaseLegalEntityID>117727094</CaseLegalEntityID>
        <AuthenticationTypeID>41</AuthenticationTypeID>
        <AuthenticationTypeName>מדינת ישראל </AuthenticationTypeName>
        <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234236284</CasePartyID>
        <PartyTypeID>2</PartyTypeID>
        <ActivityStatusID>1</ActivityStatusID>
        <PartyAliasID>30</PartyAliasID>
        <PartyAliasName>בא כוח מאשימה</PartyAliasName>
        <OrdinalNumber>1</OrdinalNumber>
        <LegalEntityID>401511</LegalEntityID>
        <CaseLegalEntityID>117727095</CaseLegalEntityID>
        <AuthenticationTypeID>4</AuthenticationTypeID>
        <AuthenticationTypeName>מ.ר.</AuthenticationTypeName>
        <LegalEntityNumber>23060</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בנימין זאבי (עצור/אסיר בפיקוח)</FullName>
        <FirstName>בנימין</FirstName>
        <LastName>זאבי</LastName>
        <PartyPropertyID>26</PartyPropertyID>
        <PartyPropertyName/>
        <AuthenticationTypeAndNumber>ת"ז 051381408</AuthenticationTypeAndNumber>
        <RepresentatedOrRepresentativesNames>עופר ארליך, רצון דרחי, מנחם שטאובר</RepresentatedOrRepresentativesNames>
        <RepresentatedOrRepresentativesCount>3</RepresentatedOrRepresentativesCount>
        <InvitedBy/>
        <CaseID>78849191</CaseID>
        <CaseJudicialPersonPresentationDS>
          <CaseJudicalPersonActive>
            <CaseID>78849191</CaseID>
            <JudicialPersonID>059708842@GOV.IL</JudicialPersonID>
            <JudicialPersonTypeID>1</JudicialPersonTypeID>
            <JudicialTypeID>3</JudicialTypeID>
            <IsChairman>true</IsChairman>
            <TreatmentStartDate>2023-12-07T09:43:03.51+02:00</TreatmentStartDate>
            <TreatmentFinishDate>9999-12-31T23:59:59.997+02:00</TreatmentFinishDate>
            <IdentificationCardNumber>059708842</IdentificationCardNumber>
            <DisplayName>חגית מאק-קלמנוביץ</DisplayName>
            <JudicialTypeName>הרכב שופטים</JudicialTypeName>
            <CaseJudicialGroupNumber>559255</CaseJudicialGroupNumber>
            <FirstName>חגית</FirstName>
            <LastName>מאק-קלמנוביץ</LastName>
            <JudicialPersonTitle>שופט</JudicialPersonTitle>
          </CaseJudicalPersonActive>
          <CaseJudicalPersonActive>
            <CaseID>78849191</CaseID>
            <JudicialPersonID>065893471@GOV.IL</JudicialPersonID>
            <JudicialPersonTypeID>1</JudicialPersonTypeID>
            <JudicialTypeID>3</JudicialTypeID>
            <IsChairman>false</IsChairman>
            <TreatmentStartDate>2023-12-07T09:43:03.51+02:00</TreatmentStartDate>
            <TreatmentFinishDate>9999-12-31T23:59:59.997+02:00</TreatmentFinishDate>
            <IdentificationCardNumber>065893471</IdentificationCardNumber>
            <DisplayName>מרים ליפשיץ-פריבס</DisplayName>
            <JudicialTypeName>הרכב שופטים</JudicialTypeName>
            <CaseJudicialGroupNumber>559255</CaseJudicialGroupNumber>
            <FirstName>מרים</FirstName>
            <LastName>ליפשיץ פריבס</LastName>
            <JudicialPersonTitle>שופט</JudicialPersonTitle>
          </CaseJudicalPersonActive>
          <CaseJudicalPersonActive>
            <CaseID>78849191</CaseID>
            <JudicialPersonID>028149722@GOV.IL</JudicialPersonID>
            <JudicialPersonTypeID>1</JudicialPersonTypeID>
            <JudicialTypeID>3</JudicialTypeID>
            <IsChairman>false</IsChairman>
            <TreatmentStartDate>2023-12-07T09:43:03.51+02:00</TreatmentStartDate>
            <TreatmentFinishDate>9999-12-31T23:59:59.997+02:00</TreatmentFinishDate>
            <IdentificationCardNumber>028149722</IdentificationCardNumber>
            <DisplayName>אילן סלע</DisplayName>
            <JudicialTypeName>הרכב שופטים</JudicialTypeName>
            <CaseJudicialGroupNumber>559255</CaseJudicialGroupNumber>
            <FirstName>אילן</FirstName>
            <LastName>סלע</LastName>
            <JudicialPersonTitle>שופט</JudicialPersonTitle>
          </CaseJudicalPersonActive>
        </CaseJudicialPersonPresentationDS>
        <CasePartyID>234236285</CasePartyID>
        <PartyTypeID>1</PartyTypeID>
        <ActivityStatusID>1</ActivityStatusID>
        <PartyAliasID>13</PartyAliasID>
        <PartyAliasName>נאשם</PartyAliasName>
        <OrdinalNumber>1</OrdinalNumber>
        <LegalEntityID>46285818</LegalEntityID>
        <CaseLegalEntityID>117727096</CaseLegalEntityID>
        <AuthenticationTypeID>1</AuthenticationTypeID>
        <AuthenticationTypeName>ת"ז</AuthenticationTypeName>
        <LegalEntityNumber>051381408</LegalEntityNumber>
        <IsMainPartyType>true</IsMainPartyType>
        <CaseDisplayIdentifier>5921-12-21</CaseDisplayIdentifier>
        <CaseTypeID>10077</CaseTypeID>
        <CaseTypeName>תיק פשעים חמורים (תפ"ח)</CaseTypeName>
        <CaseName>מדינת ישראל נ' זאבי(עצור/אסיר בפיקוח)</CaseName>
        <FullAddress>שד' חמד  12/1 ירושלים </FullAddress>
        <MotionID>0</MotionID>
        <CasePleaID>0</CasePleaID>
        <BirthDate>1952-11-09T08:08:47+02:00</BirthDate>
        <FatherName>רחבעם</FatherName>
        <LinkedCaseID>0</LinkedCaseID>
        <PartyID>2</PartyID>
        <CasePartyCategoryID>2</CasePartyCategoryID>
        <LegalEntityAddressID>85898482</LegalEntityAddressID>
        <PleaTypeID>8</PleaTypeID>
        <GroupPartyAlias>נאשמים</GroupPartyAlias>
        <IsConverted>false</IsConverted>
        <LegalEntityRegisteredNameID>2723025</LegalEntityRegisteredNameID>
        <LegalEntityNameID>92326426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בנימין זאבי (עצור/אסיר בפיקוח)</PublicationProhibitedFullName>
      </CaseParties>
    </CasePartiesSelectionDS>
    <CaseName>מדינת ישראל נ' זאבי(עצור/אסיר בפיקוח)</CaseName>
    <CaseDisplayIdentifier>5921-12-21</CaseDisplayIdentifier>
    <CaseTypeShortName>תפ"ח</CaseTypeShortName>
  </dt_DecisionCase>
  <dt_DecisionJudgePanel>
    <JudgeID>059708842@GOV.IL</JudgeID>
    <DisplayName>מאק-קלמנוביץ</DisplayName>
    <RoleName>שופט</RoleName>
    <UserTitleName>שופטת</UserTitleName>
  </dt_DecisionJudgePanel>
  <dt_DecisionJudgePanel>
    <JudgeID>065893471@GOV.IL</JudgeID>
    <DisplayName>ליפשיץ פריבס</DisplayName>
    <RoleName>שופט</RoleName>
    <UserTitleName>שופטת</UserTitleName>
  </dt_DecisionJudgePanel>
  <dt_DecisionJudgePanel>
    <JudgeID>028149722@GOV.IL</JudgeID>
    <DisplayName>סלע</DisplayName>
    <RoleName>שופט</RoleName>
    <UserTitleName>שופט</UserTitleName>
  </dt_DecisionJudgePanel>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03-6916440</Fax>
    <Phone>03-6918635</Phone>
    <AddressDesc>בית הדר דפנה</AddressDesc>
    <PartyID>2</PartyID>
    <PartyTypeID>2</PartyTypeID>
    <DecisionID>0</DecisionID>
    <StreetName>שד' שאול המלך 39</StreetName>
    <ZipCode>64928</ZipCode>
    <CityName>תל אביב -יפו</CityName>
    <FullName>רצון דרחי</FullName>
    <Email>ratson@darhi-law.co.il</Email>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Fax/>
    <Phone/>
    <AddressDesc/>
    <PartyID>1</PartyID>
    <PartyTypeID>3</PartyTypeID>
    <DecisionID>0</DecisionID>
    <AssistantRoleID>53</AssistantRoleID>
    <StreetName/>
    <CityName/>
    <FullName>ברוך שרביט</FullName>
    <Email/>
    <IsPublicationProhibited>false</IsPublicationProhibited>
  </dt_LegalEntityDetails>
  <dt_LegalEntityDetails>
    <Fax>04-8660038</Fax>
    <Phone>04-8669667</Phone>
    <PartyID>1</PartyID>
    <PartyTypeID>2</PartyTypeID>
    <DecisionID>0</DecisionID>
    <StreetName>שמריהו לוין 24</StreetName>
    <ZipCode>31047</ZipCode>
    <CityName>חיפה</CityName>
    <FullName>איגור גלידר</FullName>
    <IsPublicationProhibited>false</IsPublicationProhibited>
  </dt_LegalEntityDetails>
  <dt_LegalEntityDetails>
    <Fax/>
    <Phone/>
    <AddressDesc/>
    <PartyID>1</PartyID>
    <PartyTypeID>3</PartyTypeID>
    <DecisionID>0</DecisionID>
    <AssistantRoleID>27</AssistantRoleID>
    <StreetName>.</StreetName>
    <CityName>ירושלים</CityName>
    <FullName>חברת הקלטה</FullName>
    <Email/>
    <IsPublicationProhibited>false</IsPublicationProhibited>
  </dt_LegalEntityDetails>
  <dt_LegalEntityDetails>
    <Fax>02-5445466</Fax>
    <AddressDesc>כניסה ג</AddressDesc>
    <PartyID>2</PartyID>
    <PartyTypeID>2</PartyTypeID>
    <DecisionID>0</DecisionID>
    <StreetName>המלך ג'ורג' 16</StreetName>
    <ZipCode>9422918</ZipCode>
    <CityName>ירושלים</CityName>
    <FullName>עופר ארליך</FullName>
    <Email>stauberm12@gmail.com</Email>
    <IsPublicationProhibited>false</IsPublicationProhibited>
  </dt_LegalEntityDetails>
  <dt_LegalEntityDetails>
    <Fax>02-5445466</Fax>
    <AddressDesc>כניסה ג</AddressDesc>
    <PartyID>2</PartyID>
    <PartyTypeID>2</PartyTypeID>
    <DecisionID>0</DecisionID>
    <StreetName>המלך ג'ורג' 16</StreetName>
    <ZipCode>9422918</ZipCode>
    <CityName>ירושלים</CityName>
    <FullName>מנחם שטאובר</FullName>
    <Email>stauberm12@gmail.com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02-6467049</Fax>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שד' חמד  12/1</StreetName>
    <CityName>ירושלים</CityName>
    <FullName>בנימין  זאבי </FullName>
    <IsPublicationProhibited>false</IsPublicationProhibited>
  </dt_LegalEntityDetails>
  <dt_CaseJudicalPersonActive>
    <CaseJudicalPerson>שופטת חגית מאק-קלמנוביץ, שופטת מרים ליפשיץ פריבס, שופט אילן סלע</CaseJudicalPerson>
  </dt_CaseJudicalPersonActive>
  <dt_Sitting>
    <FutureSittingDate>2024-05-06T09:30:00+03:00</FutureSittingDate>
    <PreviousMeetingDate>2024-03-31T10:30:00+03:00</PreviousMeetingDate>
    <NextSittingTypeID>52</NextSittingTypeID>
    <PreviousSittingTypeID>2</PreviousSittingTypeID>
    <NextMeetingDisplayName>חגית מאק-קלמנוביץ, מרים ליפשיץ-פריבס, אילן סלע</NextMeetingDisplayName>
    <NextMeetingUserUPN>028149722@GOV.IL, 059708842@GOV.IL, 065893471@GOV.IL</NextMeetingUserUPN>
    <PreviousMeetingDisplayName>חגית מאק-קלמנוביץ, מרים ליפשיץ-פריבס, אילן סלע</PreviousMeetingDisplayName>
    <PreviousMeetingUserUPN>028149722@GOV.IL, 059708842@GOV.IL, 065893471@GOV.IL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B552-5B8C-4F23-A171-70A75CF1C6FB}">
  <ds:schemaRefs/>
</ds:datastoreItem>
</file>

<file path=customXml/itemProps2.xml><?xml version="1.0" encoding="utf-8"?>
<ds:datastoreItem xmlns:ds="http://schemas.openxmlformats.org/officeDocument/2006/customXml" ds:itemID="{81C9DBF9-3996-4887-8526-A6236F07F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3818</Words>
  <Characters>19091</Characters>
  <Application>Microsoft Office Word</Application>
  <DocSecurity>4</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שני קמחי נידם</cp:lastModifiedBy>
  <cp:revision>2</cp:revision>
  <cp:lastPrinted>2024-05-06T05:48:00Z</cp:lastPrinted>
  <dcterms:created xsi:type="dcterms:W3CDTF">2024-05-06T06:23:00Z</dcterms:created>
  <dcterms:modified xsi:type="dcterms:W3CDTF">2024-05-06T06:23:00Z</dcterms:modified>
</cp:coreProperties>
</file>